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87" w:rsidRPr="00827C10" w:rsidRDefault="00827C10" w:rsidP="00F562BF">
      <w:pPr>
        <w:pStyle w:val="Balk1"/>
        <w:spacing w:before="0"/>
        <w:jc w:val="center"/>
        <w:rPr>
          <w:color w:val="auto"/>
          <w:lang w:val="tr-TR"/>
        </w:rPr>
      </w:pPr>
      <w:r w:rsidRPr="00827C10">
        <w:rPr>
          <w:color w:val="auto"/>
          <w:lang w:val="tr-TR"/>
        </w:rPr>
        <w:t>CV</w:t>
      </w:r>
    </w:p>
    <w:p w:rsidR="00827C10" w:rsidRDefault="00827C10" w:rsidP="00827C10">
      <w:pPr>
        <w:rPr>
          <w:rFonts w:ascii="Arial" w:hAnsi="Arial" w:cs="Arial"/>
          <w:b/>
          <w:sz w:val="20"/>
          <w:szCs w:val="20"/>
          <w:lang w:val="tr-TR"/>
        </w:rPr>
      </w:pPr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r w:rsidRPr="00827C10">
        <w:rPr>
          <w:b/>
          <w:lang w:val="tr-TR"/>
        </w:rPr>
        <w:t xml:space="preserve">Name </w:t>
      </w:r>
      <w:proofErr w:type="spellStart"/>
      <w:r w:rsidRPr="00827C10">
        <w:rPr>
          <w:b/>
          <w:lang w:val="tr-TR"/>
        </w:rPr>
        <w:t>and</w:t>
      </w:r>
      <w:proofErr w:type="spellEnd"/>
      <w:r w:rsidRPr="00827C10">
        <w:rPr>
          <w:b/>
          <w:lang w:val="tr-TR"/>
        </w:rPr>
        <w:t xml:space="preserve"> </w:t>
      </w:r>
      <w:proofErr w:type="spellStart"/>
      <w:r w:rsidRPr="00827C10">
        <w:rPr>
          <w:b/>
          <w:lang w:val="tr-TR"/>
        </w:rPr>
        <w:t>Surname</w:t>
      </w:r>
      <w:proofErr w:type="spellEnd"/>
      <w:r w:rsidRPr="00827C10">
        <w:rPr>
          <w:b/>
          <w:lang w:val="tr-TR"/>
        </w:rPr>
        <w:t>:</w:t>
      </w:r>
      <w:r w:rsidR="00AD043E">
        <w:rPr>
          <w:b/>
          <w:lang w:val="tr-TR"/>
        </w:rPr>
        <w:t xml:space="preserve"> Recep Cengiz AKÇAY</w:t>
      </w:r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827C10">
        <w:rPr>
          <w:b/>
          <w:lang w:val="tr-TR"/>
        </w:rPr>
        <w:t>Date</w:t>
      </w:r>
      <w:proofErr w:type="spellEnd"/>
      <w:r w:rsidRPr="00827C10">
        <w:rPr>
          <w:b/>
          <w:lang w:val="tr-TR"/>
        </w:rPr>
        <w:t xml:space="preserve"> of </w:t>
      </w:r>
      <w:proofErr w:type="spellStart"/>
      <w:r w:rsidRPr="00827C10">
        <w:rPr>
          <w:b/>
          <w:lang w:val="tr-TR"/>
        </w:rPr>
        <w:t>Birth</w:t>
      </w:r>
      <w:proofErr w:type="spellEnd"/>
      <w:r w:rsidRPr="00827C10">
        <w:rPr>
          <w:b/>
          <w:lang w:val="tr-TR"/>
        </w:rPr>
        <w:t>:</w:t>
      </w:r>
      <w:r w:rsidR="00AD043E">
        <w:rPr>
          <w:b/>
          <w:lang w:val="tr-TR"/>
        </w:rPr>
        <w:t xml:space="preserve"> </w:t>
      </w:r>
      <w:proofErr w:type="gramStart"/>
      <w:r w:rsidR="00AD043E">
        <w:rPr>
          <w:b/>
          <w:lang w:val="tr-TR"/>
        </w:rPr>
        <w:t>02/14/1958</w:t>
      </w:r>
      <w:proofErr w:type="gramEnd"/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827C10">
        <w:rPr>
          <w:b/>
          <w:lang w:val="tr-TR"/>
        </w:rPr>
        <w:t>Academic</w:t>
      </w:r>
      <w:proofErr w:type="spellEnd"/>
      <w:r w:rsidRPr="00827C10">
        <w:rPr>
          <w:b/>
          <w:lang w:val="tr-TR"/>
        </w:rPr>
        <w:t xml:space="preserve"> </w:t>
      </w:r>
      <w:proofErr w:type="spellStart"/>
      <w:r w:rsidRPr="00827C10">
        <w:rPr>
          <w:b/>
          <w:lang w:val="tr-TR"/>
        </w:rPr>
        <w:t>Title</w:t>
      </w:r>
      <w:proofErr w:type="spellEnd"/>
      <w:r w:rsidRPr="00827C10">
        <w:rPr>
          <w:b/>
          <w:lang w:val="tr-TR"/>
        </w:rPr>
        <w:t>:</w:t>
      </w:r>
      <w:r w:rsidR="00AD043E">
        <w:rPr>
          <w:b/>
          <w:lang w:val="tr-TR"/>
        </w:rPr>
        <w:t xml:space="preserve"> Prof. Dr.</w:t>
      </w:r>
    </w:p>
    <w:p w:rsid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lang w:val="tr-TR"/>
        </w:rPr>
      </w:pPr>
      <w:proofErr w:type="spellStart"/>
      <w:r w:rsidRPr="00827C10">
        <w:rPr>
          <w:b/>
          <w:lang w:val="tr-TR"/>
        </w:rPr>
        <w:t>Education</w:t>
      </w:r>
      <w:proofErr w:type="spellEnd"/>
      <w:r w:rsidRPr="00827C10">
        <w:rPr>
          <w:lang w:val="tr-TR"/>
        </w:rPr>
        <w:t>:</w:t>
      </w:r>
      <w:r w:rsidR="00AD043E">
        <w:rPr>
          <w:lang w:val="tr-TR"/>
        </w:rPr>
        <w:t xml:space="preserve"> </w:t>
      </w:r>
    </w:p>
    <w:p w:rsidR="00827C10" w:rsidRDefault="00827C10" w:rsidP="00827C10">
      <w:pPr>
        <w:pStyle w:val="ListeParagraf"/>
        <w:ind w:left="0"/>
        <w:rPr>
          <w:b/>
          <w:lang w:val="tr-TR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668"/>
        <w:gridCol w:w="2827"/>
        <w:gridCol w:w="3139"/>
        <w:gridCol w:w="988"/>
      </w:tblGrid>
      <w:tr w:rsidR="00827C10" w:rsidTr="00F56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Degree</w:t>
            </w:r>
          </w:p>
        </w:tc>
        <w:tc>
          <w:tcPr>
            <w:tcW w:w="2827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Field</w:t>
            </w:r>
          </w:p>
        </w:tc>
        <w:tc>
          <w:tcPr>
            <w:tcW w:w="3139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University</w:t>
            </w:r>
          </w:p>
        </w:tc>
        <w:tc>
          <w:tcPr>
            <w:tcW w:w="988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Year</w:t>
            </w:r>
          </w:p>
        </w:tc>
      </w:tr>
      <w:tr w:rsidR="00827C10" w:rsidTr="00F5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Bachelor’s(first cycle)</w:t>
            </w:r>
          </w:p>
        </w:tc>
        <w:tc>
          <w:tcPr>
            <w:tcW w:w="2827" w:type="dxa"/>
          </w:tcPr>
          <w:p w:rsidR="00827C10" w:rsidRDefault="00A8639A" w:rsidP="00A8639A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proofErr w:type="spellStart"/>
            <w:r>
              <w:rPr>
                <w:lang w:val="tr-TR"/>
              </w:rPr>
              <w:t>Educational</w:t>
            </w:r>
            <w:proofErr w:type="spellEnd"/>
            <w:r>
              <w:rPr>
                <w:lang w:val="tr-TR"/>
              </w:rPr>
              <w:t xml:space="preserve"> Administration, Planning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Supervision</w:t>
            </w:r>
            <w:proofErr w:type="spellEnd"/>
          </w:p>
        </w:tc>
        <w:tc>
          <w:tcPr>
            <w:tcW w:w="3139" w:type="dxa"/>
          </w:tcPr>
          <w:p w:rsidR="00827C10" w:rsidRDefault="00A8639A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Ankara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827C10" w:rsidRDefault="00A8639A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1983</w:t>
            </w:r>
          </w:p>
        </w:tc>
      </w:tr>
      <w:tr w:rsidR="00A8639A" w:rsidTr="00F562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single" w:sz="6" w:space="0" w:color="FFFFFF" w:themeColor="background1"/>
            </w:tcBorders>
          </w:tcPr>
          <w:p w:rsidR="00A8639A" w:rsidRPr="007B4417" w:rsidRDefault="00A8639A" w:rsidP="00A8639A">
            <w:pPr>
              <w:pStyle w:val="ListeParagraf"/>
              <w:ind w:left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Master’s</w:t>
            </w:r>
            <w:proofErr w:type="spellEnd"/>
            <w:r w:rsidRPr="007B4417">
              <w:rPr>
                <w:color w:val="auto"/>
                <w:lang w:val="tr-TR"/>
              </w:rPr>
              <w:t>(</w:t>
            </w:r>
            <w:proofErr w:type="spellStart"/>
            <w:r w:rsidRPr="007B4417">
              <w:rPr>
                <w:color w:val="auto"/>
                <w:lang w:val="tr-TR"/>
              </w:rPr>
              <w:t>second</w:t>
            </w:r>
            <w:proofErr w:type="spellEnd"/>
            <w:r w:rsidRPr="007B4417">
              <w:rPr>
                <w:color w:val="auto"/>
                <w:lang w:val="tr-TR"/>
              </w:rPr>
              <w:t xml:space="preserve"> </w:t>
            </w:r>
            <w:proofErr w:type="spellStart"/>
            <w:r w:rsidRPr="007B4417">
              <w:rPr>
                <w:color w:val="auto"/>
                <w:lang w:val="tr-TR"/>
              </w:rPr>
              <w:t>cylcle</w:t>
            </w:r>
            <w:proofErr w:type="spellEnd"/>
            <w:r w:rsidRPr="007B4417">
              <w:rPr>
                <w:color w:val="auto"/>
                <w:lang w:val="tr-TR"/>
              </w:rPr>
              <w:t>)</w:t>
            </w:r>
          </w:p>
        </w:tc>
        <w:tc>
          <w:tcPr>
            <w:tcW w:w="2827" w:type="dxa"/>
          </w:tcPr>
          <w:p w:rsidR="00A8639A" w:rsidRDefault="00A8639A" w:rsidP="00A8639A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proofErr w:type="spellStart"/>
            <w:r>
              <w:rPr>
                <w:lang w:val="tr-TR"/>
              </w:rPr>
              <w:t>Educational</w:t>
            </w:r>
            <w:proofErr w:type="spellEnd"/>
            <w:r>
              <w:rPr>
                <w:lang w:val="tr-TR"/>
              </w:rPr>
              <w:t xml:space="preserve"> Administration, Planning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Supervision</w:t>
            </w:r>
            <w:proofErr w:type="spellEnd"/>
          </w:p>
        </w:tc>
        <w:tc>
          <w:tcPr>
            <w:tcW w:w="3139" w:type="dxa"/>
          </w:tcPr>
          <w:p w:rsidR="00A8639A" w:rsidRDefault="00A8639A" w:rsidP="00A8639A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Ankara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A8639A" w:rsidRDefault="00A8639A" w:rsidP="00A8639A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1986</w:t>
            </w:r>
          </w:p>
        </w:tc>
      </w:tr>
      <w:tr w:rsidR="00A8639A" w:rsidTr="007B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A8639A" w:rsidRPr="007B4417" w:rsidRDefault="00A8639A" w:rsidP="00A8639A">
            <w:pPr>
              <w:pStyle w:val="ListeParagraf"/>
              <w:ind w:left="0"/>
              <w:rPr>
                <w:color w:val="auto"/>
                <w:lang w:val="tr-TR"/>
              </w:rPr>
            </w:pPr>
            <w:proofErr w:type="spellStart"/>
            <w:proofErr w:type="gramStart"/>
            <w:r w:rsidRPr="007B4417">
              <w:rPr>
                <w:color w:val="auto"/>
                <w:lang w:val="tr-TR"/>
              </w:rPr>
              <w:t>Ph.D</w:t>
            </w:r>
            <w:proofErr w:type="spellEnd"/>
            <w:proofErr w:type="gramEnd"/>
            <w:r w:rsidRPr="007B4417">
              <w:rPr>
                <w:color w:val="auto"/>
                <w:lang w:val="tr-TR"/>
              </w:rPr>
              <w:t>.(</w:t>
            </w:r>
            <w:proofErr w:type="spellStart"/>
            <w:r w:rsidRPr="007B4417">
              <w:rPr>
                <w:color w:val="auto"/>
                <w:lang w:val="tr-TR"/>
              </w:rPr>
              <w:t>thrd</w:t>
            </w:r>
            <w:proofErr w:type="spellEnd"/>
            <w:r w:rsidRPr="007B4417">
              <w:rPr>
                <w:color w:val="auto"/>
                <w:lang w:val="tr-TR"/>
              </w:rPr>
              <w:t xml:space="preserve"> </w:t>
            </w:r>
            <w:proofErr w:type="spellStart"/>
            <w:r w:rsidRPr="007B4417">
              <w:rPr>
                <w:color w:val="auto"/>
                <w:lang w:val="tr-TR"/>
              </w:rPr>
              <w:t>cycle</w:t>
            </w:r>
            <w:proofErr w:type="spellEnd"/>
            <w:r w:rsidRPr="007B4417">
              <w:rPr>
                <w:color w:val="auto"/>
                <w:lang w:val="tr-TR"/>
              </w:rPr>
              <w:t>)</w:t>
            </w:r>
          </w:p>
        </w:tc>
        <w:tc>
          <w:tcPr>
            <w:tcW w:w="2827" w:type="dxa"/>
          </w:tcPr>
          <w:p w:rsidR="00A8639A" w:rsidRDefault="00A8639A" w:rsidP="00A8639A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proofErr w:type="spellStart"/>
            <w:r>
              <w:rPr>
                <w:lang w:val="tr-TR"/>
              </w:rPr>
              <w:t>Educational</w:t>
            </w:r>
            <w:proofErr w:type="spellEnd"/>
            <w:r>
              <w:rPr>
                <w:lang w:val="tr-TR"/>
              </w:rPr>
              <w:t xml:space="preserve"> Administration, Planning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Supervision</w:t>
            </w:r>
            <w:proofErr w:type="spellEnd"/>
          </w:p>
        </w:tc>
        <w:tc>
          <w:tcPr>
            <w:tcW w:w="3139" w:type="dxa"/>
          </w:tcPr>
          <w:p w:rsidR="00A8639A" w:rsidRDefault="00A8639A" w:rsidP="00A8639A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Ankara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A8639A" w:rsidRDefault="00A8639A" w:rsidP="00A8639A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1994</w:t>
            </w:r>
          </w:p>
        </w:tc>
      </w:tr>
    </w:tbl>
    <w:p w:rsidR="001369D0" w:rsidRDefault="001369D0" w:rsidP="001369D0">
      <w:pPr>
        <w:rPr>
          <w:b/>
          <w:lang w:val="tr-TR"/>
        </w:rPr>
      </w:pPr>
    </w:p>
    <w:p w:rsidR="001369D0" w:rsidRDefault="00F562BF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r w:rsidRPr="00F562BF">
        <w:rPr>
          <w:b/>
          <w:lang w:val="tr-TR"/>
        </w:rPr>
        <w:t>A</w:t>
      </w:r>
      <w:r>
        <w:rPr>
          <w:b/>
          <w:lang w:val="tr-TR"/>
        </w:rPr>
        <w:t>cademic Titles and years received: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proofErr w:type="spellStart"/>
      <w:r>
        <w:rPr>
          <w:b/>
          <w:lang w:val="tr-TR"/>
        </w:rPr>
        <w:t>Assistant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Professor</w:t>
      </w:r>
      <w:proofErr w:type="spellEnd"/>
      <w:r>
        <w:rPr>
          <w:b/>
          <w:lang w:val="tr-TR"/>
        </w:rPr>
        <w:t>:</w:t>
      </w:r>
      <w:r w:rsidR="00A8639A">
        <w:rPr>
          <w:b/>
          <w:lang w:val="tr-TR"/>
        </w:rPr>
        <w:t xml:space="preserve"> 1995-1998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proofErr w:type="spellStart"/>
      <w:r>
        <w:rPr>
          <w:b/>
          <w:lang w:val="tr-TR"/>
        </w:rPr>
        <w:t>Associate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Professor</w:t>
      </w:r>
      <w:proofErr w:type="spellEnd"/>
      <w:r>
        <w:rPr>
          <w:b/>
          <w:lang w:val="tr-TR"/>
        </w:rPr>
        <w:t>:</w:t>
      </w:r>
      <w:r w:rsidR="00A8639A">
        <w:rPr>
          <w:b/>
          <w:lang w:val="tr-TR"/>
        </w:rPr>
        <w:t xml:space="preserve"> 1998-2004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 xml:space="preserve">Full </w:t>
      </w:r>
      <w:proofErr w:type="spellStart"/>
      <w:r>
        <w:rPr>
          <w:b/>
          <w:lang w:val="tr-TR"/>
        </w:rPr>
        <w:t>Professor</w:t>
      </w:r>
      <w:proofErr w:type="spellEnd"/>
      <w:r>
        <w:rPr>
          <w:b/>
          <w:lang w:val="tr-TR"/>
        </w:rPr>
        <w:t>:</w:t>
      </w:r>
      <w:r w:rsidR="00A8639A">
        <w:rPr>
          <w:b/>
          <w:lang w:val="tr-TR"/>
        </w:rPr>
        <w:t xml:space="preserve"> 2004- </w:t>
      </w:r>
      <w:proofErr w:type="gramStart"/>
      <w:r w:rsidR="00A8639A">
        <w:rPr>
          <w:b/>
          <w:lang w:val="tr-TR"/>
        </w:rPr>
        <w:t>….</w:t>
      </w:r>
      <w:proofErr w:type="gramEnd"/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</w:p>
    <w:p w:rsidR="00D37741" w:rsidRDefault="00962011" w:rsidP="00D37741">
      <w:pPr>
        <w:spacing w:after="0"/>
        <w:ind w:left="-340"/>
        <w:rPr>
          <w:b/>
          <w:lang w:val="tr-TR"/>
        </w:rPr>
      </w:pPr>
      <w:r w:rsidRPr="00962011">
        <w:rPr>
          <w:b/>
          <w:lang w:val="tr-TR"/>
        </w:rPr>
        <w:t>6.</w:t>
      </w:r>
      <w:r>
        <w:rPr>
          <w:b/>
          <w:lang w:val="tr-TR"/>
        </w:rPr>
        <w:t xml:space="preserve">  Master  and </w:t>
      </w:r>
      <w:proofErr w:type="gramStart"/>
      <w:r>
        <w:rPr>
          <w:b/>
          <w:lang w:val="tr-TR"/>
        </w:rPr>
        <w:t>Ph.D</w:t>
      </w:r>
      <w:proofErr w:type="gramEnd"/>
      <w:r>
        <w:rPr>
          <w:b/>
          <w:lang w:val="tr-TR"/>
        </w:rPr>
        <w:t xml:space="preserve">. </w:t>
      </w:r>
      <w:proofErr w:type="spellStart"/>
      <w:r>
        <w:rPr>
          <w:b/>
          <w:lang w:val="tr-TR"/>
        </w:rPr>
        <w:t>Theses</w:t>
      </w:r>
      <w:proofErr w:type="spellEnd"/>
      <w:r>
        <w:rPr>
          <w:b/>
          <w:lang w:val="tr-TR"/>
        </w:rPr>
        <w:t xml:space="preserve"> supervised:</w:t>
      </w:r>
    </w:p>
    <w:p w:rsidR="00D37741" w:rsidRDefault="00962011" w:rsidP="00D37741">
      <w:pPr>
        <w:spacing w:after="0"/>
        <w:ind w:left="-340"/>
        <w:rPr>
          <w:b/>
          <w:lang w:val="tr-TR"/>
        </w:rPr>
      </w:pPr>
      <w:r w:rsidRPr="00264364">
        <w:rPr>
          <w:b/>
          <w:lang w:val="tr-TR"/>
        </w:rPr>
        <w:t xml:space="preserve">6.1. Master </w:t>
      </w:r>
      <w:proofErr w:type="spellStart"/>
      <w:r w:rsidRPr="00264364">
        <w:rPr>
          <w:b/>
          <w:lang w:val="tr-TR"/>
        </w:rPr>
        <w:t>theses</w:t>
      </w:r>
      <w:proofErr w:type="spellEnd"/>
      <w:r w:rsidR="00A8639A" w:rsidRPr="00264364">
        <w:rPr>
          <w:b/>
          <w:lang w:val="tr-TR"/>
        </w:rPr>
        <w:t xml:space="preserve">: </w:t>
      </w:r>
    </w:p>
    <w:p w:rsidR="00D37741" w:rsidRPr="00D37741" w:rsidRDefault="00D37741" w:rsidP="00D37741">
      <w:pPr>
        <w:spacing w:after="0"/>
        <w:ind w:left="-340"/>
        <w:jc w:val="both"/>
        <w:rPr>
          <w:b/>
          <w:sz w:val="20"/>
          <w:szCs w:val="20"/>
          <w:lang w:val="tr-TR"/>
        </w:rPr>
      </w:pPr>
      <w:r w:rsidRPr="00D37741">
        <w:rPr>
          <w:rFonts w:eastAsia="Times New Roman"/>
          <w:sz w:val="20"/>
          <w:szCs w:val="20"/>
          <w:lang w:eastAsia="tr-TR"/>
        </w:rPr>
        <w:t xml:space="preserve">1. Kadın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Öğretmenlerin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Kariyer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Engellerini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Algılamalarına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Göre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Kararlara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Katılım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Düzeyleri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>, 2011.</w:t>
      </w:r>
    </w:p>
    <w:p w:rsidR="00D37741" w:rsidRPr="00D37741" w:rsidRDefault="00D37741" w:rsidP="00D37741">
      <w:pPr>
        <w:spacing w:after="0"/>
        <w:ind w:left="-340"/>
        <w:jc w:val="both"/>
        <w:rPr>
          <w:b/>
          <w:sz w:val="20"/>
          <w:szCs w:val="20"/>
          <w:lang w:val="tr-TR"/>
        </w:rPr>
      </w:pPr>
      <w:r w:rsidRPr="00D37741">
        <w:rPr>
          <w:rFonts w:eastAsia="Times New Roman"/>
          <w:sz w:val="20"/>
          <w:szCs w:val="20"/>
          <w:lang w:eastAsia="tr-TR"/>
        </w:rPr>
        <w:t xml:space="preserve">2.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Yetişkin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Eğitimi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Kurslarına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Devam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Eden Kadın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Kursiyerlerin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Teknoloji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Okuryazarlığı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İhtiyacını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Belirleme</w:t>
      </w:r>
      <w:proofErr w:type="gramStart"/>
      <w:r w:rsidRPr="00D37741">
        <w:rPr>
          <w:rFonts w:eastAsia="Times New Roman"/>
          <w:sz w:val="20"/>
          <w:szCs w:val="20"/>
          <w:lang w:eastAsia="tr-TR"/>
        </w:rPr>
        <w:t>,2010</w:t>
      </w:r>
      <w:proofErr w:type="gramEnd"/>
      <w:r w:rsidRPr="00D37741">
        <w:rPr>
          <w:rFonts w:eastAsia="Times New Roman"/>
          <w:sz w:val="20"/>
          <w:szCs w:val="20"/>
          <w:lang w:eastAsia="tr-TR"/>
        </w:rPr>
        <w:t xml:space="preserve">. </w:t>
      </w:r>
    </w:p>
    <w:p w:rsidR="00D37741" w:rsidRPr="00D37741" w:rsidRDefault="00D37741" w:rsidP="00D37741">
      <w:pPr>
        <w:spacing w:after="0"/>
        <w:ind w:left="-340"/>
        <w:jc w:val="both"/>
        <w:rPr>
          <w:b/>
          <w:sz w:val="20"/>
          <w:szCs w:val="20"/>
          <w:lang w:val="tr-TR"/>
        </w:rPr>
      </w:pPr>
      <w:r w:rsidRPr="00D37741">
        <w:rPr>
          <w:rFonts w:eastAsia="Times New Roman"/>
          <w:sz w:val="20"/>
          <w:szCs w:val="20"/>
          <w:lang w:eastAsia="tr-TR"/>
        </w:rPr>
        <w:t xml:space="preserve">3.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Öğretmen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Görüşlerine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Göre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Karakter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Eğitiminde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Karakter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Gelişiminde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Okulun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Rolü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. Ş.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Melike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ÇAĞATAY, 2009.</w:t>
      </w:r>
    </w:p>
    <w:p w:rsidR="00D37741" w:rsidRPr="00D37741" w:rsidRDefault="00D37741" w:rsidP="00D37741">
      <w:pPr>
        <w:spacing w:after="0"/>
        <w:ind w:left="-340"/>
        <w:jc w:val="both"/>
        <w:rPr>
          <w:b/>
          <w:sz w:val="20"/>
          <w:szCs w:val="20"/>
          <w:lang w:val="tr-TR"/>
        </w:rPr>
      </w:pPr>
      <w:r w:rsidRPr="00D37741">
        <w:rPr>
          <w:rFonts w:eastAsia="Times New Roman"/>
          <w:sz w:val="20"/>
          <w:szCs w:val="20"/>
          <w:lang w:eastAsia="tr-TR"/>
        </w:rPr>
        <w:t xml:space="preserve">4.İlköğretim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Okulu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Sekizinci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Sınıf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Öğrencilerinin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Genel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Mesleki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Ortaöğretim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Kurumlarına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Yönlendirilmelerini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Etkileyen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Faktörler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(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Çanakkale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İl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Örneği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) - İsmail ÖZAKÇA, 2008. </w:t>
      </w:r>
    </w:p>
    <w:p w:rsidR="00D37741" w:rsidRPr="00D37741" w:rsidRDefault="00D37741" w:rsidP="00D37741">
      <w:pPr>
        <w:spacing w:after="0"/>
        <w:ind w:left="-340"/>
        <w:jc w:val="both"/>
        <w:rPr>
          <w:b/>
          <w:sz w:val="20"/>
          <w:szCs w:val="20"/>
          <w:lang w:val="tr-TR"/>
        </w:rPr>
      </w:pPr>
      <w:proofErr w:type="gramStart"/>
      <w:r w:rsidRPr="00D37741">
        <w:rPr>
          <w:rFonts w:eastAsia="Times New Roman"/>
          <w:sz w:val="20"/>
          <w:szCs w:val="20"/>
          <w:lang w:eastAsia="tr-TR"/>
        </w:rPr>
        <w:t>5.“</w:t>
      </w:r>
      <w:proofErr w:type="gramEnd"/>
      <w:r w:rsidRPr="00D37741">
        <w:rPr>
          <w:rFonts w:eastAsia="Times New Roman"/>
          <w:sz w:val="20"/>
          <w:szCs w:val="20"/>
          <w:lang w:eastAsia="tr-TR"/>
        </w:rPr>
        <w:t xml:space="preserve">Lise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Öğrencilerinde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İletişim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Kaygısı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”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Arzu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(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Taşkıran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>) KÖSELER, 2006.</w:t>
      </w:r>
    </w:p>
    <w:p w:rsidR="00D37741" w:rsidRPr="00D37741" w:rsidRDefault="00D37741" w:rsidP="00D37741">
      <w:pPr>
        <w:spacing w:after="0"/>
        <w:ind w:left="-340"/>
        <w:jc w:val="both"/>
        <w:rPr>
          <w:b/>
          <w:sz w:val="20"/>
          <w:szCs w:val="20"/>
          <w:lang w:val="tr-TR"/>
        </w:rPr>
      </w:pPr>
      <w:r w:rsidRPr="00D37741">
        <w:rPr>
          <w:rFonts w:eastAsia="Times New Roman"/>
          <w:sz w:val="20"/>
          <w:szCs w:val="20"/>
          <w:lang w:eastAsia="tr-TR"/>
        </w:rPr>
        <w:t>6. “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Sivil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Toplum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Kuruluşları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ile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Kurumları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İlişkisi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>” Murat ÇAKIR, 2006.</w:t>
      </w:r>
    </w:p>
    <w:p w:rsidR="00D37741" w:rsidRPr="00D37741" w:rsidRDefault="00D37741" w:rsidP="00D37741">
      <w:pPr>
        <w:spacing w:after="0"/>
        <w:ind w:left="-340"/>
        <w:jc w:val="both"/>
        <w:rPr>
          <w:b/>
          <w:sz w:val="20"/>
          <w:szCs w:val="20"/>
          <w:lang w:val="tr-TR"/>
        </w:rPr>
      </w:pPr>
      <w:r w:rsidRPr="00D37741">
        <w:rPr>
          <w:rFonts w:eastAsia="Times New Roman"/>
          <w:sz w:val="20"/>
          <w:szCs w:val="20"/>
          <w:lang w:eastAsia="tr-TR"/>
        </w:rPr>
        <w:t>7. “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İşitme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Engelli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Öğrencilerin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Beden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Eğitimi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Dersinde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Yaşadığı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Güçlükler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”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Hükümran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SÜMER, 2006.</w:t>
      </w:r>
    </w:p>
    <w:p w:rsidR="00D37741" w:rsidRPr="00D37741" w:rsidRDefault="00D37741" w:rsidP="00D37741">
      <w:pPr>
        <w:spacing w:after="0"/>
        <w:ind w:left="-340"/>
        <w:jc w:val="both"/>
        <w:rPr>
          <w:b/>
          <w:sz w:val="20"/>
          <w:szCs w:val="20"/>
          <w:lang w:val="tr-TR"/>
        </w:rPr>
      </w:pPr>
      <w:r w:rsidRPr="00D37741">
        <w:rPr>
          <w:rFonts w:eastAsia="Times New Roman"/>
          <w:sz w:val="20"/>
          <w:szCs w:val="20"/>
          <w:lang w:eastAsia="tr-TR"/>
        </w:rPr>
        <w:t>8. “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İlköğretim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Okullarında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Görev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Yapan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Öğretmenlerin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Mesleğe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Bağlılıkları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”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Ercüment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İLÇE, 2005.</w:t>
      </w:r>
    </w:p>
    <w:p w:rsidR="00D37741" w:rsidRPr="00D37741" w:rsidRDefault="00D37741" w:rsidP="00D37741">
      <w:pPr>
        <w:spacing w:after="0"/>
        <w:ind w:left="-340"/>
        <w:jc w:val="both"/>
        <w:rPr>
          <w:b/>
          <w:sz w:val="20"/>
          <w:szCs w:val="20"/>
          <w:lang w:val="tr-TR"/>
        </w:rPr>
      </w:pPr>
      <w:r w:rsidRPr="00D37741">
        <w:rPr>
          <w:rFonts w:eastAsia="Times New Roman"/>
          <w:sz w:val="20"/>
          <w:szCs w:val="20"/>
          <w:lang w:eastAsia="tr-TR"/>
        </w:rPr>
        <w:t>9. “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Öğretmenlerin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kendi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meslekleri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ile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ilgili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görüşleri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yaşadıkları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problemler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”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Gülşah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ÖZKAYA, 2005.</w:t>
      </w:r>
    </w:p>
    <w:p w:rsidR="00D37741" w:rsidRPr="00D37741" w:rsidRDefault="00D37741" w:rsidP="00D37741">
      <w:pPr>
        <w:spacing w:after="0"/>
        <w:ind w:left="-340"/>
        <w:jc w:val="both"/>
        <w:rPr>
          <w:b/>
          <w:sz w:val="20"/>
          <w:szCs w:val="20"/>
          <w:lang w:val="tr-TR"/>
        </w:rPr>
      </w:pPr>
      <w:r w:rsidRPr="00D37741">
        <w:rPr>
          <w:rFonts w:eastAsia="Times New Roman"/>
          <w:sz w:val="20"/>
          <w:szCs w:val="20"/>
          <w:lang w:eastAsia="tr-TR"/>
        </w:rPr>
        <w:t>10</w:t>
      </w:r>
      <w:proofErr w:type="gramStart"/>
      <w:r w:rsidRPr="00D37741">
        <w:rPr>
          <w:rFonts w:eastAsia="Times New Roman"/>
          <w:sz w:val="20"/>
          <w:szCs w:val="20"/>
          <w:lang w:eastAsia="tr-TR"/>
        </w:rPr>
        <w:t>.“</w:t>
      </w:r>
      <w:proofErr w:type="gramEnd"/>
      <w:r w:rsidRPr="00D37741">
        <w:rPr>
          <w:rFonts w:eastAsia="Times New Roman"/>
          <w:sz w:val="20"/>
          <w:szCs w:val="20"/>
          <w:lang w:eastAsia="tr-TR"/>
        </w:rPr>
        <w:t xml:space="preserve">Avrupa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Birliği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Ülkelerinde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Rehberlik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Hizmetlerinin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Örgütlenmesi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>.” Abdurrahman KUZU, 2003.</w:t>
      </w:r>
    </w:p>
    <w:p w:rsidR="00D37741" w:rsidRPr="00D37741" w:rsidRDefault="00D37741" w:rsidP="00D37741">
      <w:pPr>
        <w:spacing w:after="0"/>
        <w:ind w:left="-340"/>
        <w:jc w:val="both"/>
        <w:rPr>
          <w:b/>
          <w:sz w:val="20"/>
          <w:szCs w:val="20"/>
          <w:lang w:val="tr-TR"/>
        </w:rPr>
      </w:pPr>
      <w:r w:rsidRPr="00D37741">
        <w:rPr>
          <w:rFonts w:eastAsia="Times New Roman"/>
          <w:sz w:val="20"/>
          <w:szCs w:val="20"/>
          <w:lang w:eastAsia="tr-TR"/>
        </w:rPr>
        <w:t>11. “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Özel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Okullarının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Denetimi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İle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İlgili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Müfettiş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Yönetici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Öğretmen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Görüşleri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”.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Nesrin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Şahin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(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Hacımusalar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>), 2002.</w:t>
      </w:r>
    </w:p>
    <w:p w:rsidR="00D37741" w:rsidRPr="00D37741" w:rsidRDefault="00D37741" w:rsidP="00D37741">
      <w:pPr>
        <w:spacing w:after="0"/>
        <w:ind w:left="-340"/>
        <w:jc w:val="both"/>
        <w:rPr>
          <w:b/>
          <w:sz w:val="20"/>
          <w:szCs w:val="20"/>
          <w:lang w:val="tr-TR"/>
        </w:rPr>
      </w:pPr>
      <w:r w:rsidRPr="00D37741">
        <w:rPr>
          <w:rFonts w:eastAsia="Times New Roman"/>
          <w:sz w:val="20"/>
          <w:szCs w:val="20"/>
          <w:lang w:eastAsia="tr-TR"/>
        </w:rPr>
        <w:t>12. “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Sistemleriyle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Politik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Sistemlerin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Değerlendirilmesi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” Ahmet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Kızılışık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>, 2002.</w:t>
      </w:r>
    </w:p>
    <w:p w:rsidR="00D37741" w:rsidRPr="00D37741" w:rsidRDefault="00D37741" w:rsidP="00D37741">
      <w:pPr>
        <w:spacing w:after="0"/>
        <w:ind w:left="-340"/>
        <w:jc w:val="both"/>
        <w:rPr>
          <w:b/>
          <w:sz w:val="20"/>
          <w:szCs w:val="20"/>
          <w:lang w:val="tr-TR"/>
        </w:rPr>
      </w:pPr>
      <w:r w:rsidRPr="00D37741">
        <w:rPr>
          <w:rFonts w:eastAsia="Times New Roman"/>
          <w:sz w:val="20"/>
          <w:szCs w:val="20"/>
          <w:lang w:eastAsia="tr-TR"/>
        </w:rPr>
        <w:t>13. “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İlköğretim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Okullarında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Takım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Çalışması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Konusunda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Öğretmen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Görüşleri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”.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Sibel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Çetin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>. 2001.</w:t>
      </w:r>
    </w:p>
    <w:p w:rsidR="00D37741" w:rsidRPr="00D37741" w:rsidRDefault="00D37741" w:rsidP="00D37741">
      <w:pPr>
        <w:spacing w:after="0"/>
        <w:ind w:left="-340"/>
        <w:jc w:val="both"/>
        <w:rPr>
          <w:b/>
          <w:sz w:val="20"/>
          <w:szCs w:val="20"/>
          <w:lang w:val="tr-TR"/>
        </w:rPr>
      </w:pPr>
      <w:r w:rsidRPr="00D37741">
        <w:rPr>
          <w:rFonts w:eastAsia="Times New Roman"/>
          <w:sz w:val="20"/>
          <w:szCs w:val="20"/>
          <w:lang w:eastAsia="tr-TR"/>
        </w:rPr>
        <w:t>14. “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İlköğretim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Okullarının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Yapı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Boyutunda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Meydana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Gelen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Örgütsel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Değişimler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Hakkındaki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Yönetici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Öğretmen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Görüşlerinin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Değerlendirilmesi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.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Nurten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Gündoğdu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>. 2000.</w:t>
      </w:r>
    </w:p>
    <w:p w:rsidR="00D37741" w:rsidRPr="00D37741" w:rsidRDefault="00D37741" w:rsidP="00D37741">
      <w:pPr>
        <w:spacing w:after="0"/>
        <w:ind w:left="-340"/>
        <w:jc w:val="both"/>
        <w:rPr>
          <w:b/>
          <w:sz w:val="20"/>
          <w:szCs w:val="20"/>
          <w:lang w:val="tr-TR"/>
        </w:rPr>
      </w:pPr>
      <w:r w:rsidRPr="00D37741">
        <w:rPr>
          <w:rFonts w:eastAsia="Times New Roman"/>
          <w:sz w:val="20"/>
          <w:szCs w:val="20"/>
          <w:lang w:eastAsia="tr-TR"/>
        </w:rPr>
        <w:t xml:space="preserve">15. “Bayan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Öğretmenlerin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Yöneticilikleri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Öğretmen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Görüşleri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”.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Ferda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Ayan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>, 2000.</w:t>
      </w:r>
    </w:p>
    <w:p w:rsidR="00D37741" w:rsidRPr="00D37741" w:rsidRDefault="00D37741" w:rsidP="00D37741">
      <w:pPr>
        <w:spacing w:after="0"/>
        <w:ind w:left="-340"/>
        <w:jc w:val="both"/>
        <w:rPr>
          <w:b/>
          <w:sz w:val="20"/>
          <w:szCs w:val="20"/>
          <w:lang w:val="tr-TR"/>
        </w:rPr>
      </w:pPr>
      <w:r w:rsidRPr="00D37741">
        <w:rPr>
          <w:rFonts w:eastAsia="Times New Roman"/>
          <w:sz w:val="20"/>
          <w:szCs w:val="20"/>
          <w:lang w:eastAsia="tr-TR"/>
        </w:rPr>
        <w:t>16. “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Taşımalı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Nedeniyle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Kapatılan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Okulların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Durumları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Sorunları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”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Gülay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Koç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>, 2000.</w:t>
      </w:r>
    </w:p>
    <w:p w:rsidR="00D37741" w:rsidRPr="00D37741" w:rsidRDefault="00D37741" w:rsidP="00D37741">
      <w:pPr>
        <w:spacing w:after="0"/>
        <w:ind w:left="-340"/>
        <w:jc w:val="both"/>
        <w:rPr>
          <w:b/>
          <w:sz w:val="20"/>
          <w:szCs w:val="20"/>
          <w:lang w:val="tr-TR"/>
        </w:rPr>
      </w:pPr>
      <w:r w:rsidRPr="00D37741">
        <w:rPr>
          <w:rFonts w:eastAsia="Times New Roman"/>
          <w:sz w:val="20"/>
          <w:szCs w:val="20"/>
          <w:lang w:eastAsia="tr-TR"/>
        </w:rPr>
        <w:lastRenderedPageBreak/>
        <w:t>17. “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Çanakkale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Müzelerinin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Halk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Eğitimi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İle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İlgili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İşlevleri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”.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Levent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Kılıç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>, 1999.</w:t>
      </w:r>
    </w:p>
    <w:p w:rsidR="00D37741" w:rsidRPr="00D37741" w:rsidRDefault="00D37741" w:rsidP="00D37741">
      <w:pPr>
        <w:spacing w:after="0"/>
        <w:ind w:left="-340"/>
        <w:jc w:val="both"/>
        <w:rPr>
          <w:b/>
          <w:sz w:val="20"/>
          <w:szCs w:val="20"/>
          <w:lang w:val="tr-TR"/>
        </w:rPr>
      </w:pPr>
      <w:r w:rsidRPr="00D37741">
        <w:rPr>
          <w:rFonts w:eastAsia="Times New Roman"/>
          <w:sz w:val="20"/>
          <w:szCs w:val="20"/>
          <w:lang w:eastAsia="tr-TR"/>
        </w:rPr>
        <w:t>18. “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İlköğretim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Fen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Bilgisi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Programının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Uygulamaya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Dönük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Yeterliği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”.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Sibel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Ceyhan, 1998. </w:t>
      </w:r>
    </w:p>
    <w:p w:rsidR="00D37741" w:rsidRPr="00D37741" w:rsidRDefault="00D37741" w:rsidP="00D37741">
      <w:pPr>
        <w:spacing w:after="0"/>
        <w:ind w:left="-340"/>
        <w:jc w:val="both"/>
        <w:rPr>
          <w:b/>
          <w:sz w:val="20"/>
          <w:szCs w:val="20"/>
          <w:lang w:val="tr-TR"/>
        </w:rPr>
      </w:pPr>
      <w:r w:rsidRPr="00D37741">
        <w:rPr>
          <w:rFonts w:eastAsia="Times New Roman"/>
          <w:sz w:val="20"/>
          <w:szCs w:val="20"/>
          <w:lang w:eastAsia="tr-TR"/>
        </w:rPr>
        <w:t>19. “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İlköğretim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Fen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Bilgisi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Dersi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Öğretiminde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Kavram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Haritalarının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Kullanımı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Öğrenci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Kavramsallaştırmaları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Üzerine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Etkileri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”.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Hülya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D37741">
        <w:rPr>
          <w:rFonts w:eastAsia="Times New Roman"/>
          <w:sz w:val="20"/>
          <w:szCs w:val="20"/>
          <w:lang w:eastAsia="tr-TR"/>
        </w:rPr>
        <w:t>Altınok</w:t>
      </w:r>
      <w:proofErr w:type="spellEnd"/>
      <w:r w:rsidRPr="00D37741">
        <w:rPr>
          <w:rFonts w:eastAsia="Times New Roman"/>
          <w:sz w:val="20"/>
          <w:szCs w:val="20"/>
          <w:lang w:eastAsia="tr-TR"/>
        </w:rPr>
        <w:t>. 1998.</w:t>
      </w:r>
    </w:p>
    <w:p w:rsidR="000D514F" w:rsidRDefault="00A8639A" w:rsidP="000D514F">
      <w:pPr>
        <w:spacing w:after="0"/>
        <w:ind w:left="-340"/>
        <w:jc w:val="both"/>
        <w:rPr>
          <w:b/>
          <w:lang w:val="tr-TR"/>
        </w:rPr>
      </w:pPr>
      <w:r>
        <w:rPr>
          <w:b/>
          <w:lang w:val="tr-TR"/>
        </w:rPr>
        <w:t xml:space="preserve">     </w:t>
      </w:r>
      <w:r w:rsidR="00962011" w:rsidRPr="00264364">
        <w:rPr>
          <w:b/>
          <w:lang w:val="tr-TR"/>
        </w:rPr>
        <w:t xml:space="preserve">6.2   </w:t>
      </w:r>
      <w:proofErr w:type="spellStart"/>
      <w:proofErr w:type="gramStart"/>
      <w:r w:rsidR="00962011" w:rsidRPr="00264364">
        <w:rPr>
          <w:b/>
          <w:lang w:val="tr-TR"/>
        </w:rPr>
        <w:t>Ph.D</w:t>
      </w:r>
      <w:proofErr w:type="spellEnd"/>
      <w:proofErr w:type="gramEnd"/>
      <w:r w:rsidR="00962011" w:rsidRPr="00264364">
        <w:rPr>
          <w:b/>
          <w:lang w:val="tr-TR"/>
        </w:rPr>
        <w:t xml:space="preserve">. </w:t>
      </w:r>
      <w:proofErr w:type="spellStart"/>
      <w:r w:rsidR="00962011" w:rsidRPr="00264364">
        <w:rPr>
          <w:b/>
          <w:lang w:val="tr-TR"/>
        </w:rPr>
        <w:t>theses</w:t>
      </w:r>
      <w:proofErr w:type="spellEnd"/>
      <w:r w:rsidRPr="00264364">
        <w:rPr>
          <w:b/>
          <w:lang w:val="tr-TR"/>
        </w:rPr>
        <w:t xml:space="preserve">:  </w:t>
      </w:r>
    </w:p>
    <w:p w:rsidR="000D514F" w:rsidRPr="00D37741" w:rsidRDefault="000D514F" w:rsidP="00D37741">
      <w:pPr>
        <w:pStyle w:val="HTMLncedenBiimlendirilmi"/>
        <w:shd w:val="clear" w:color="auto" w:fill="FFFFFF"/>
        <w:rPr>
          <w:rFonts w:asciiTheme="minorHAnsi" w:hAnsiTheme="minorHAnsi"/>
        </w:rPr>
      </w:pPr>
      <w:r w:rsidRPr="00D37741">
        <w:rPr>
          <w:rFonts w:asciiTheme="minorHAnsi" w:hAnsiTheme="minorHAnsi"/>
        </w:rPr>
        <w:t xml:space="preserve">1. </w:t>
      </w:r>
      <w:r w:rsidR="00D37741" w:rsidRPr="00D37741">
        <w:rPr>
          <w:rFonts w:asciiTheme="minorHAnsi" w:hAnsiTheme="minorHAnsi"/>
          <w:lang w:val="en"/>
        </w:rPr>
        <w:t xml:space="preserve">Emotions Management Behavior of </w:t>
      </w:r>
      <w:r w:rsidR="00D37741" w:rsidRPr="00D37741">
        <w:rPr>
          <w:rFonts w:asciiTheme="minorHAnsi" w:hAnsiTheme="minorHAnsi"/>
          <w:lang w:val="en"/>
        </w:rPr>
        <w:t xml:space="preserve">the Managers the Point of Management Processes. </w:t>
      </w:r>
      <w:r w:rsidRPr="00D37741">
        <w:rPr>
          <w:rFonts w:asciiTheme="minorHAnsi" w:hAnsiTheme="minorHAnsi"/>
        </w:rPr>
        <w:t>Adil ÇORUK, 2012.</w:t>
      </w:r>
    </w:p>
    <w:p w:rsidR="000D514F" w:rsidRPr="00D37741" w:rsidRDefault="000D514F" w:rsidP="00D37741">
      <w:pPr>
        <w:pStyle w:val="HTMLncedenBiimlendirilmi"/>
        <w:shd w:val="clear" w:color="auto" w:fill="FFFFFF"/>
        <w:rPr>
          <w:rFonts w:asciiTheme="minorHAnsi" w:hAnsiTheme="minorHAnsi"/>
        </w:rPr>
      </w:pPr>
      <w:r w:rsidRPr="00D37741">
        <w:rPr>
          <w:rFonts w:asciiTheme="minorHAnsi" w:hAnsiTheme="minorHAnsi"/>
        </w:rPr>
        <w:t xml:space="preserve">2. </w:t>
      </w:r>
      <w:proofErr w:type="spellStart"/>
      <w:r w:rsidR="00D37741" w:rsidRPr="00D37741">
        <w:rPr>
          <w:rFonts w:asciiTheme="minorHAnsi" w:hAnsiTheme="minorHAnsi"/>
        </w:rPr>
        <w:t>The</w:t>
      </w:r>
      <w:proofErr w:type="spellEnd"/>
      <w:r w:rsidR="00D37741" w:rsidRPr="00D37741">
        <w:rPr>
          <w:rFonts w:asciiTheme="minorHAnsi" w:hAnsiTheme="minorHAnsi"/>
        </w:rPr>
        <w:t xml:space="preserve"> </w:t>
      </w:r>
      <w:r w:rsidR="00D37741" w:rsidRPr="00D37741">
        <w:rPr>
          <w:rFonts w:asciiTheme="minorHAnsi" w:hAnsiTheme="minorHAnsi"/>
          <w:lang w:val="en"/>
        </w:rPr>
        <w:t xml:space="preserve">Evaluation </w:t>
      </w:r>
      <w:r w:rsidR="00D37741" w:rsidRPr="00D37741">
        <w:rPr>
          <w:rFonts w:asciiTheme="minorHAnsi" w:hAnsiTheme="minorHAnsi"/>
          <w:lang w:val="en"/>
        </w:rPr>
        <w:t xml:space="preserve">of </w:t>
      </w:r>
      <w:r w:rsidR="00D37741" w:rsidRPr="00D37741">
        <w:rPr>
          <w:rFonts w:asciiTheme="minorHAnsi" w:hAnsiTheme="minorHAnsi"/>
          <w:lang w:val="en"/>
        </w:rPr>
        <w:t>Perception of Organizational Justice</w:t>
      </w:r>
      <w:r w:rsidR="00D37741" w:rsidRPr="00D37741">
        <w:rPr>
          <w:rFonts w:asciiTheme="minorHAnsi" w:hAnsiTheme="minorHAnsi"/>
          <w:lang w:val="en"/>
        </w:rPr>
        <w:t xml:space="preserve"> in terms of </w:t>
      </w:r>
      <w:r w:rsidR="00D37741" w:rsidRPr="00D37741">
        <w:rPr>
          <w:rFonts w:asciiTheme="minorHAnsi" w:hAnsiTheme="minorHAnsi"/>
          <w:lang w:val="en"/>
        </w:rPr>
        <w:t>Management Processes</w:t>
      </w:r>
      <w:r w:rsidR="00D37741" w:rsidRPr="00D37741">
        <w:rPr>
          <w:rFonts w:asciiTheme="minorHAnsi" w:hAnsiTheme="minorHAnsi"/>
        </w:rPr>
        <w:t xml:space="preserve"> </w:t>
      </w:r>
      <w:r w:rsidR="00D37741" w:rsidRPr="00D37741">
        <w:rPr>
          <w:rFonts w:asciiTheme="minorHAnsi" w:hAnsiTheme="minorHAnsi"/>
          <w:lang w:val="en"/>
        </w:rPr>
        <w:t xml:space="preserve">in </w:t>
      </w:r>
      <w:r w:rsidR="00D37741" w:rsidRPr="00D37741">
        <w:rPr>
          <w:rFonts w:asciiTheme="minorHAnsi" w:hAnsiTheme="minorHAnsi"/>
          <w:lang w:val="en"/>
        </w:rPr>
        <w:t>the Universities in Turkey</w:t>
      </w:r>
      <w:r w:rsidR="00D37741">
        <w:rPr>
          <w:rFonts w:asciiTheme="minorHAnsi" w:hAnsiTheme="minorHAnsi"/>
          <w:lang w:val="en"/>
        </w:rPr>
        <w:t xml:space="preserve">. </w:t>
      </w:r>
      <w:r w:rsidRPr="00D37741">
        <w:rPr>
          <w:rFonts w:asciiTheme="minorHAnsi" w:hAnsiTheme="minorHAnsi"/>
        </w:rPr>
        <w:t xml:space="preserve">Bertan Akyol 2013. </w:t>
      </w:r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7.   Scientific Publications</w:t>
      </w:r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>7.1. Scientific journal articles published in refereed international journals(</w:t>
      </w:r>
      <w:proofErr w:type="gramStart"/>
      <w:r>
        <w:rPr>
          <w:b/>
          <w:lang w:val="tr-TR"/>
        </w:rPr>
        <w:t>SCI,SSCI</w:t>
      </w:r>
      <w:proofErr w:type="gramEnd"/>
      <w:r>
        <w:rPr>
          <w:b/>
          <w:lang w:val="tr-TR"/>
        </w:rPr>
        <w:t xml:space="preserve">,Arts&amp;HumanitiesCI) </w:t>
      </w:r>
    </w:p>
    <w:p w:rsidR="000D514F" w:rsidRPr="009161F9" w:rsidRDefault="000D514F" w:rsidP="000D514F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tr-TR"/>
        </w:rPr>
      </w:pPr>
      <w:r w:rsidRPr="009161F9">
        <w:rPr>
          <w:rFonts w:eastAsia="Times New Roman" w:cs="Arial"/>
          <w:sz w:val="20"/>
          <w:szCs w:val="20"/>
          <w:lang w:eastAsia="tr-TR"/>
        </w:rPr>
        <w:t xml:space="preserve">1. </w:t>
      </w:r>
      <w:proofErr w:type="spellStart"/>
      <w:r w:rsidRPr="009161F9">
        <w:rPr>
          <w:rFonts w:eastAsia="Times New Roman" w:cs="Arial"/>
          <w:sz w:val="20"/>
          <w:szCs w:val="20"/>
          <w:lang w:eastAsia="tr-TR"/>
        </w:rPr>
        <w:t>Akçay</w:t>
      </w:r>
      <w:proofErr w:type="spellEnd"/>
      <w:r w:rsidRPr="009161F9">
        <w:rPr>
          <w:rFonts w:eastAsia="Times New Roman" w:cs="Arial"/>
          <w:sz w:val="20"/>
          <w:szCs w:val="20"/>
          <w:lang w:eastAsia="tr-TR"/>
        </w:rPr>
        <w:t>, R. C. (2005). “The</w:t>
      </w:r>
      <w:r w:rsidR="009161F9">
        <w:rPr>
          <w:rFonts w:eastAsia="Times New Roman" w:cs="Arial"/>
          <w:sz w:val="20"/>
          <w:szCs w:val="20"/>
          <w:lang w:eastAsia="tr-TR"/>
        </w:rPr>
        <w:t xml:space="preserve"> </w:t>
      </w:r>
      <w:r w:rsidRPr="009161F9">
        <w:rPr>
          <w:rFonts w:eastAsia="Times New Roman" w:cs="Arial"/>
          <w:sz w:val="20"/>
          <w:szCs w:val="20"/>
          <w:lang w:eastAsia="tr-TR"/>
        </w:rPr>
        <w:t>Problems of Teaching</w:t>
      </w:r>
      <w:r w:rsidR="009161F9">
        <w:rPr>
          <w:rFonts w:eastAsia="Times New Roman" w:cs="Arial"/>
          <w:sz w:val="20"/>
          <w:szCs w:val="20"/>
          <w:lang w:eastAsia="tr-TR"/>
        </w:rPr>
        <w:t xml:space="preserve"> </w:t>
      </w:r>
      <w:r w:rsidRPr="009161F9">
        <w:rPr>
          <w:rFonts w:eastAsia="Times New Roman" w:cs="Arial"/>
          <w:sz w:val="20"/>
          <w:szCs w:val="20"/>
          <w:lang w:eastAsia="tr-TR"/>
        </w:rPr>
        <w:t>Profession</w:t>
      </w:r>
      <w:r w:rsidR="009161F9">
        <w:rPr>
          <w:rFonts w:eastAsia="Times New Roman" w:cs="Arial"/>
          <w:sz w:val="20"/>
          <w:szCs w:val="20"/>
          <w:lang w:eastAsia="tr-TR"/>
        </w:rPr>
        <w:t xml:space="preserve"> </w:t>
      </w:r>
      <w:r w:rsidRPr="009161F9">
        <w:rPr>
          <w:rFonts w:eastAsia="Times New Roman" w:cs="Arial"/>
          <w:sz w:val="20"/>
          <w:szCs w:val="20"/>
          <w:lang w:eastAsia="tr-TR"/>
        </w:rPr>
        <w:t>Which</w:t>
      </w:r>
      <w:r w:rsidR="009161F9">
        <w:rPr>
          <w:rFonts w:eastAsia="Times New Roman" w:cs="Arial"/>
          <w:sz w:val="20"/>
          <w:szCs w:val="20"/>
          <w:lang w:eastAsia="tr-TR"/>
        </w:rPr>
        <w:t xml:space="preserve"> </w:t>
      </w:r>
      <w:r w:rsidRPr="009161F9">
        <w:rPr>
          <w:rFonts w:eastAsia="Times New Roman" w:cs="Arial"/>
          <w:sz w:val="20"/>
          <w:szCs w:val="20"/>
          <w:lang w:eastAsia="tr-TR"/>
        </w:rPr>
        <w:t>are</w:t>
      </w:r>
      <w:r w:rsidR="009161F9">
        <w:rPr>
          <w:rFonts w:eastAsia="Times New Roman" w:cs="Arial"/>
          <w:sz w:val="20"/>
          <w:szCs w:val="20"/>
          <w:lang w:eastAsia="tr-TR"/>
        </w:rPr>
        <w:t xml:space="preserve"> </w:t>
      </w:r>
      <w:r w:rsidRPr="009161F9">
        <w:rPr>
          <w:rFonts w:eastAsia="Times New Roman" w:cs="Arial"/>
          <w:sz w:val="20"/>
          <w:szCs w:val="20"/>
          <w:lang w:eastAsia="tr-TR"/>
        </w:rPr>
        <w:t>Caused</w:t>
      </w:r>
      <w:r w:rsidR="009161F9">
        <w:rPr>
          <w:rFonts w:eastAsia="Times New Roman" w:cs="Arial"/>
          <w:sz w:val="20"/>
          <w:szCs w:val="20"/>
          <w:lang w:eastAsia="tr-TR"/>
        </w:rPr>
        <w:t xml:space="preserve"> </w:t>
      </w:r>
      <w:r w:rsidRPr="009161F9">
        <w:rPr>
          <w:rFonts w:eastAsia="Times New Roman" w:cs="Arial"/>
          <w:sz w:val="20"/>
          <w:szCs w:val="20"/>
          <w:lang w:eastAsia="tr-TR"/>
        </w:rPr>
        <w:t>by</w:t>
      </w:r>
      <w:r w:rsidR="009161F9">
        <w:rPr>
          <w:rFonts w:eastAsia="Times New Roman" w:cs="Arial"/>
          <w:sz w:val="20"/>
          <w:szCs w:val="20"/>
          <w:lang w:eastAsia="tr-TR"/>
        </w:rPr>
        <w:t xml:space="preserve"> </w:t>
      </w:r>
      <w:r w:rsidRPr="009161F9">
        <w:rPr>
          <w:rFonts w:eastAsia="Times New Roman" w:cs="Arial"/>
          <w:sz w:val="20"/>
          <w:szCs w:val="20"/>
          <w:lang w:eastAsia="tr-TR"/>
        </w:rPr>
        <w:t>Contemporary</w:t>
      </w:r>
      <w:r w:rsidR="009161F9">
        <w:rPr>
          <w:rFonts w:eastAsia="Times New Roman" w:cs="Arial"/>
          <w:sz w:val="20"/>
          <w:szCs w:val="20"/>
          <w:lang w:eastAsia="tr-TR"/>
        </w:rPr>
        <w:t xml:space="preserve"> </w:t>
      </w:r>
      <w:r w:rsidRPr="009161F9">
        <w:rPr>
          <w:rFonts w:eastAsia="Times New Roman" w:cs="Arial"/>
          <w:sz w:val="20"/>
          <w:szCs w:val="20"/>
          <w:lang w:eastAsia="tr-TR"/>
        </w:rPr>
        <w:t>Changings in Career Management and a Career</w:t>
      </w:r>
      <w:r w:rsidR="009161F9">
        <w:rPr>
          <w:rFonts w:eastAsia="Times New Roman" w:cs="Arial"/>
          <w:sz w:val="20"/>
          <w:szCs w:val="20"/>
          <w:lang w:eastAsia="tr-TR"/>
        </w:rPr>
        <w:t xml:space="preserve"> </w:t>
      </w:r>
      <w:r w:rsidRPr="009161F9">
        <w:rPr>
          <w:rFonts w:eastAsia="Times New Roman" w:cs="Arial"/>
          <w:sz w:val="20"/>
          <w:szCs w:val="20"/>
          <w:lang w:eastAsia="tr-TR"/>
        </w:rPr>
        <w:t>System Model” Eurasian</w:t>
      </w:r>
      <w:r w:rsidR="009161F9">
        <w:rPr>
          <w:rFonts w:eastAsia="Times New Roman" w:cs="Arial"/>
          <w:sz w:val="20"/>
          <w:szCs w:val="20"/>
          <w:lang w:eastAsia="tr-TR"/>
        </w:rPr>
        <w:t xml:space="preserve"> </w:t>
      </w:r>
      <w:r w:rsidRPr="009161F9">
        <w:rPr>
          <w:rFonts w:eastAsia="Times New Roman" w:cs="Arial"/>
          <w:sz w:val="20"/>
          <w:szCs w:val="20"/>
          <w:lang w:eastAsia="tr-TR"/>
        </w:rPr>
        <w:t>Journal of Educational</w:t>
      </w:r>
      <w:r w:rsidR="009161F9">
        <w:rPr>
          <w:rFonts w:eastAsia="Times New Roman" w:cs="Arial"/>
          <w:sz w:val="20"/>
          <w:szCs w:val="20"/>
          <w:lang w:eastAsia="tr-TR"/>
        </w:rPr>
        <w:t xml:space="preserve"> </w:t>
      </w:r>
      <w:r w:rsidRPr="009161F9">
        <w:rPr>
          <w:rFonts w:eastAsia="Times New Roman" w:cs="Arial"/>
          <w:sz w:val="20"/>
          <w:szCs w:val="20"/>
          <w:lang w:eastAsia="tr-TR"/>
        </w:rPr>
        <w:t>Research, Issue 18</w:t>
      </w:r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>7.</w:t>
      </w:r>
      <w:proofErr w:type="gramStart"/>
      <w:r>
        <w:rPr>
          <w:b/>
          <w:lang w:val="tr-TR"/>
        </w:rPr>
        <w:t>2 .</w:t>
      </w:r>
      <w:proofErr w:type="gramEnd"/>
      <w:r>
        <w:rPr>
          <w:b/>
          <w:lang w:val="tr-TR"/>
        </w:rPr>
        <w:t xml:space="preserve"> Scientific articles published in </w:t>
      </w:r>
      <w:proofErr w:type="spellStart"/>
      <w:r>
        <w:rPr>
          <w:b/>
          <w:lang w:val="tr-TR"/>
        </w:rPr>
        <w:t>other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refereed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journals</w:t>
      </w:r>
      <w:proofErr w:type="spellEnd"/>
    </w:p>
    <w:p w:rsidR="00BE71D8" w:rsidRPr="009161F9" w:rsidRDefault="00BE71D8" w:rsidP="00BE71D8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tr-TR"/>
        </w:rPr>
      </w:pPr>
      <w:r>
        <w:rPr>
          <w:rFonts w:eastAsia="Times New Roman" w:cs="Arial"/>
          <w:sz w:val="20"/>
          <w:szCs w:val="20"/>
          <w:lang w:eastAsia="tr-TR"/>
        </w:rPr>
        <w:t>1</w:t>
      </w:r>
      <w:r w:rsidRPr="009161F9">
        <w:rPr>
          <w:rFonts w:eastAsia="Times New Roman" w:cs="Arial"/>
          <w:sz w:val="20"/>
          <w:szCs w:val="20"/>
          <w:lang w:eastAsia="tr-TR"/>
        </w:rPr>
        <w:t xml:space="preserve">. </w:t>
      </w:r>
      <w:proofErr w:type="spellStart"/>
      <w:r w:rsidRPr="009161F9">
        <w:rPr>
          <w:rFonts w:eastAsia="Times New Roman" w:cs="Arial"/>
          <w:sz w:val="20"/>
          <w:szCs w:val="20"/>
          <w:lang w:eastAsia="tr-TR"/>
        </w:rPr>
        <w:t>Akçay</w:t>
      </w:r>
      <w:proofErr w:type="spellEnd"/>
      <w:r w:rsidRPr="009161F9">
        <w:rPr>
          <w:rFonts w:eastAsia="Times New Roman" w:cs="Arial"/>
          <w:sz w:val="20"/>
          <w:szCs w:val="20"/>
          <w:lang w:eastAsia="tr-TR"/>
        </w:rPr>
        <w:t>, R. C. (2005). “Social</w:t>
      </w:r>
      <w:r>
        <w:rPr>
          <w:rFonts w:eastAsia="Times New Roman" w:cs="Arial"/>
          <w:sz w:val="20"/>
          <w:szCs w:val="20"/>
          <w:lang w:eastAsia="tr-TR"/>
        </w:rPr>
        <w:t xml:space="preserve"> </w:t>
      </w:r>
      <w:r w:rsidRPr="009161F9">
        <w:rPr>
          <w:rFonts w:eastAsia="Times New Roman" w:cs="Arial"/>
          <w:sz w:val="20"/>
          <w:szCs w:val="20"/>
          <w:lang w:eastAsia="tr-TR"/>
        </w:rPr>
        <w:t>Aspects of Aging” Journal of Naval Science</w:t>
      </w:r>
      <w:r>
        <w:rPr>
          <w:rFonts w:eastAsia="Times New Roman" w:cs="Arial"/>
          <w:sz w:val="20"/>
          <w:szCs w:val="20"/>
          <w:lang w:eastAsia="tr-TR"/>
        </w:rPr>
        <w:t xml:space="preserve"> </w:t>
      </w:r>
      <w:r w:rsidRPr="009161F9">
        <w:rPr>
          <w:rFonts w:eastAsia="Times New Roman" w:cs="Arial"/>
          <w:sz w:val="20"/>
          <w:szCs w:val="20"/>
          <w:lang w:eastAsia="tr-TR"/>
        </w:rPr>
        <w:t>and</w:t>
      </w:r>
      <w:r>
        <w:rPr>
          <w:rFonts w:eastAsia="Times New Roman" w:cs="Arial"/>
          <w:sz w:val="20"/>
          <w:szCs w:val="20"/>
          <w:lang w:eastAsia="tr-TR"/>
        </w:rPr>
        <w:t xml:space="preserve"> </w:t>
      </w:r>
      <w:r w:rsidRPr="009161F9">
        <w:rPr>
          <w:rFonts w:eastAsia="Times New Roman" w:cs="Arial"/>
          <w:sz w:val="20"/>
          <w:szCs w:val="20"/>
          <w:lang w:eastAsia="tr-TR"/>
        </w:rPr>
        <w:t>Engineering.</w:t>
      </w:r>
    </w:p>
    <w:p w:rsidR="00BE71D8" w:rsidRPr="009161F9" w:rsidRDefault="00BE71D8" w:rsidP="00BE71D8">
      <w:pPr>
        <w:spacing w:before="120" w:after="120" w:line="240" w:lineRule="auto"/>
        <w:jc w:val="both"/>
        <w:rPr>
          <w:rFonts w:eastAsia="Times New Roman" w:cs="Arial"/>
          <w:sz w:val="18"/>
          <w:szCs w:val="18"/>
          <w:lang w:eastAsia="tr-TR"/>
        </w:rPr>
      </w:pPr>
      <w:r>
        <w:rPr>
          <w:rFonts w:eastAsia="Times New Roman" w:cs="Arial"/>
          <w:sz w:val="18"/>
          <w:szCs w:val="18"/>
          <w:lang w:eastAsia="tr-TR"/>
        </w:rPr>
        <w:t>2</w:t>
      </w:r>
      <w:r w:rsidRPr="009161F9">
        <w:rPr>
          <w:rFonts w:eastAsia="Times New Roman" w:cs="Arial"/>
          <w:sz w:val="18"/>
          <w:szCs w:val="18"/>
          <w:lang w:eastAsia="tr-TR"/>
        </w:rPr>
        <w:t xml:space="preserve">. </w:t>
      </w:r>
      <w:proofErr w:type="spellStart"/>
      <w:r w:rsidRPr="009161F9">
        <w:rPr>
          <w:rFonts w:eastAsia="Times New Roman" w:cs="Arial"/>
          <w:sz w:val="18"/>
          <w:szCs w:val="18"/>
          <w:lang w:eastAsia="tr-TR"/>
        </w:rPr>
        <w:t>Akyol</w:t>
      </w:r>
      <w:proofErr w:type="spellEnd"/>
      <w:r w:rsidRPr="009161F9">
        <w:rPr>
          <w:rFonts w:eastAsia="Times New Roman" w:cs="Arial"/>
          <w:sz w:val="18"/>
          <w:szCs w:val="18"/>
          <w:lang w:eastAsia="tr-TR"/>
        </w:rPr>
        <w:t xml:space="preserve"> B</w:t>
      </w:r>
      <w:proofErr w:type="gramStart"/>
      <w:r w:rsidRPr="009161F9">
        <w:rPr>
          <w:rFonts w:eastAsia="Times New Roman" w:cs="Arial"/>
          <w:sz w:val="18"/>
          <w:szCs w:val="18"/>
          <w:lang w:eastAsia="tr-TR"/>
        </w:rPr>
        <w:t>. ;</w:t>
      </w:r>
      <w:proofErr w:type="gramEnd"/>
      <w:r w:rsidRPr="009161F9">
        <w:rPr>
          <w:rFonts w:eastAsia="Times New Roman" w:cs="Arial"/>
          <w:sz w:val="18"/>
          <w:szCs w:val="18"/>
          <w:lang w:eastAsia="tr-TR"/>
        </w:rPr>
        <w:t xml:space="preserve">  </w:t>
      </w:r>
      <w:proofErr w:type="spellStart"/>
      <w:r w:rsidRPr="009161F9">
        <w:rPr>
          <w:rFonts w:eastAsia="Times New Roman" w:cs="Arial"/>
          <w:sz w:val="18"/>
          <w:szCs w:val="18"/>
          <w:lang w:eastAsia="tr-TR"/>
        </w:rPr>
        <w:t>Akçay</w:t>
      </w:r>
      <w:proofErr w:type="spellEnd"/>
      <w:r w:rsidRPr="009161F9">
        <w:rPr>
          <w:rFonts w:eastAsia="Times New Roman" w:cs="Arial"/>
          <w:sz w:val="18"/>
          <w:szCs w:val="18"/>
          <w:lang w:eastAsia="tr-TR"/>
        </w:rPr>
        <w:t xml:space="preserve"> R.C. (2013) </w:t>
      </w:r>
      <w:r w:rsidRPr="009161F9">
        <w:rPr>
          <w:rFonts w:eastAsia="Times New Roman" w:cs="Arial"/>
          <w:i/>
          <w:iCs/>
          <w:sz w:val="18"/>
          <w:szCs w:val="18"/>
          <w:lang w:eastAsia="tr-TR"/>
        </w:rPr>
        <w:t>“Scale Of Organızatıonal Justıce In Management Processes: A Valıdıty And Relıabılıty Study”</w:t>
      </w:r>
      <w:r w:rsidRPr="009161F9">
        <w:rPr>
          <w:rFonts w:eastAsia="Times New Roman" w:cs="Arial"/>
          <w:sz w:val="18"/>
          <w:szCs w:val="18"/>
          <w:lang w:eastAsia="tr-TR"/>
        </w:rPr>
        <w:t> </w:t>
      </w:r>
      <w:r w:rsidRPr="009161F9">
        <w:rPr>
          <w:rFonts w:eastAsia="Times New Roman" w:cs="Arial"/>
          <w:b/>
          <w:bCs/>
          <w:sz w:val="18"/>
          <w:szCs w:val="18"/>
          <w:lang w:eastAsia="tr-TR"/>
        </w:rPr>
        <w:t>The Journal of Academic Social Science Studies</w:t>
      </w:r>
      <w:r w:rsidRPr="009161F9">
        <w:rPr>
          <w:rFonts w:eastAsia="Times New Roman" w:cs="Arial"/>
          <w:sz w:val="18"/>
          <w:szCs w:val="18"/>
          <w:lang w:eastAsia="tr-TR"/>
        </w:rPr>
        <w:t> </w:t>
      </w:r>
      <w:r w:rsidRPr="009161F9">
        <w:rPr>
          <w:rFonts w:eastAsia="Times New Roman" w:cs="Arial"/>
          <w:b/>
          <w:bCs/>
          <w:sz w:val="18"/>
          <w:szCs w:val="18"/>
          <w:lang w:eastAsia="tr-TR"/>
        </w:rPr>
        <w:t>International Journal of Social Science.</w:t>
      </w:r>
      <w:r w:rsidRPr="009161F9">
        <w:rPr>
          <w:rFonts w:eastAsia="Times New Roman" w:cs="Arial"/>
          <w:sz w:val="18"/>
          <w:szCs w:val="18"/>
          <w:lang w:eastAsia="tr-TR"/>
        </w:rPr>
        <w:t> Volume 6 Issue 5, p. …-…, May 2013</w:t>
      </w:r>
    </w:p>
    <w:p w:rsidR="00BE71D8" w:rsidRPr="00BE71D8" w:rsidRDefault="00BE71D8" w:rsidP="00BE71D8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tr-TR"/>
        </w:rPr>
      </w:pPr>
      <w:r>
        <w:rPr>
          <w:sz w:val="20"/>
          <w:szCs w:val="20"/>
        </w:rPr>
        <w:t>3</w:t>
      </w:r>
      <w:r w:rsidRPr="009161F9">
        <w:rPr>
          <w:sz w:val="20"/>
          <w:szCs w:val="20"/>
        </w:rPr>
        <w:t xml:space="preserve">. </w:t>
      </w:r>
      <w:proofErr w:type="spellStart"/>
      <w:r w:rsidRPr="009161F9">
        <w:rPr>
          <w:sz w:val="20"/>
          <w:szCs w:val="20"/>
        </w:rPr>
        <w:t>Akyol</w:t>
      </w:r>
      <w:proofErr w:type="spellEnd"/>
      <w:r w:rsidRPr="009161F9">
        <w:rPr>
          <w:sz w:val="20"/>
          <w:szCs w:val="20"/>
        </w:rPr>
        <w:t xml:space="preserve">, B. &amp; </w:t>
      </w:r>
      <w:proofErr w:type="spellStart"/>
      <w:r w:rsidRPr="009161F9">
        <w:rPr>
          <w:sz w:val="20"/>
          <w:szCs w:val="20"/>
        </w:rPr>
        <w:t>Akçay</w:t>
      </w:r>
      <w:proofErr w:type="spellEnd"/>
      <w:r w:rsidRPr="009161F9">
        <w:rPr>
          <w:sz w:val="20"/>
          <w:szCs w:val="20"/>
        </w:rPr>
        <w:t>, C. (2015). Analysis Of Organizational</w:t>
      </w:r>
      <w:r>
        <w:rPr>
          <w:sz w:val="20"/>
          <w:szCs w:val="20"/>
        </w:rPr>
        <w:t xml:space="preserve"> </w:t>
      </w:r>
      <w:proofErr w:type="spellStart"/>
      <w:r w:rsidRPr="009161F9">
        <w:rPr>
          <w:sz w:val="20"/>
          <w:szCs w:val="20"/>
        </w:rPr>
        <w:t>Behaviour</w:t>
      </w:r>
      <w:proofErr w:type="spellEnd"/>
      <w:r>
        <w:rPr>
          <w:sz w:val="20"/>
          <w:szCs w:val="20"/>
        </w:rPr>
        <w:t xml:space="preserve"> </w:t>
      </w:r>
      <w:r w:rsidRPr="009161F9">
        <w:rPr>
          <w:sz w:val="20"/>
          <w:szCs w:val="20"/>
        </w:rPr>
        <w:t>Studies in Turkey. Journal of Theory</w:t>
      </w:r>
      <w:r>
        <w:rPr>
          <w:sz w:val="20"/>
          <w:szCs w:val="20"/>
        </w:rPr>
        <w:t xml:space="preserve"> </w:t>
      </w:r>
      <w:r w:rsidRPr="009161F9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9161F9">
        <w:rPr>
          <w:sz w:val="20"/>
          <w:szCs w:val="20"/>
        </w:rPr>
        <w:t>Practice in Education. 11(1), 149-170.</w:t>
      </w:r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7.3.  Scientific presentations presented at and published in </w:t>
      </w:r>
      <w:proofErr w:type="spellStart"/>
      <w:r>
        <w:rPr>
          <w:b/>
          <w:lang w:val="tr-TR"/>
        </w:rPr>
        <w:t>the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proceedings</w:t>
      </w:r>
      <w:proofErr w:type="spellEnd"/>
      <w:r>
        <w:rPr>
          <w:b/>
          <w:lang w:val="tr-TR"/>
        </w:rPr>
        <w:t xml:space="preserve"> of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conferences</w:t>
      </w:r>
      <w:proofErr w:type="spellEnd"/>
    </w:p>
    <w:p w:rsidR="009161F9" w:rsidRPr="00BE71D8" w:rsidRDefault="009161F9" w:rsidP="00BE71D8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1. </w:t>
      </w:r>
      <w:r w:rsidRPr="00BE71D8">
        <w:rPr>
          <w:sz w:val="20"/>
          <w:szCs w:val="20"/>
        </w:rPr>
        <w:t xml:space="preserve">AKÇAY, R.C. </w:t>
      </w:r>
      <w:proofErr w:type="spellStart"/>
      <w:r w:rsidRPr="00BE71D8">
        <w:rPr>
          <w:sz w:val="20"/>
          <w:szCs w:val="20"/>
        </w:rPr>
        <w:t>ve</w:t>
      </w:r>
      <w:proofErr w:type="spellEnd"/>
      <w:r w:rsidRPr="00BE71D8">
        <w:rPr>
          <w:sz w:val="20"/>
          <w:szCs w:val="20"/>
        </w:rPr>
        <w:t xml:space="preserve"> AKÇAY </w:t>
      </w:r>
      <w:proofErr w:type="spellStart"/>
      <w:r w:rsidRPr="00BE71D8">
        <w:rPr>
          <w:sz w:val="20"/>
          <w:szCs w:val="20"/>
        </w:rPr>
        <w:t>Üzüm</w:t>
      </w:r>
      <w:proofErr w:type="spellEnd"/>
      <w:r w:rsidRPr="00BE71D8">
        <w:rPr>
          <w:sz w:val="20"/>
          <w:szCs w:val="20"/>
        </w:rPr>
        <w:t xml:space="preserve">, P.  </w:t>
      </w:r>
      <w:r w:rsidRPr="00BE71D8">
        <w:rPr>
          <w:rFonts w:eastAsia="Times New Roman"/>
          <w:sz w:val="20"/>
          <w:szCs w:val="20"/>
          <w:lang w:eastAsia="tr-TR"/>
        </w:rPr>
        <w:t xml:space="preserve">(2015) 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"</w:t>
      </w:r>
      <w:r w:rsidRPr="00BE71D8">
        <w:rPr>
          <w:sz w:val="20"/>
          <w:szCs w:val="20"/>
        </w:rPr>
        <w:t xml:space="preserve"> </w:t>
      </w:r>
      <w:r w:rsidRPr="00BE71D8">
        <w:rPr>
          <w:b/>
          <w:sz w:val="20"/>
          <w:szCs w:val="20"/>
        </w:rPr>
        <w:t>Faculty</w:t>
      </w:r>
      <w:proofErr w:type="gramEnd"/>
      <w:r w:rsidRPr="00BE71D8">
        <w:rPr>
          <w:b/>
          <w:sz w:val="20"/>
          <w:szCs w:val="20"/>
        </w:rPr>
        <w:t xml:space="preserve"> Of Educatıon Students’ Opınıons About The Freedom Of Claımıng Rıght</w:t>
      </w:r>
      <w:r w:rsidRPr="00BE71D8">
        <w:rPr>
          <w:rFonts w:eastAsia="Times New Roman"/>
          <w:b/>
          <w:sz w:val="20"/>
          <w:szCs w:val="20"/>
          <w:lang w:eastAsia="tr-TR"/>
        </w:rPr>
        <w:t xml:space="preserve">” </w:t>
      </w:r>
      <w:r w:rsidRPr="00BE71D8">
        <w:rPr>
          <w:rFonts w:eastAsia="Times New Roman"/>
          <w:sz w:val="20"/>
          <w:szCs w:val="20"/>
          <w:lang w:eastAsia="tr-TR"/>
        </w:rPr>
        <w:t xml:space="preserve">VII. </w:t>
      </w:r>
      <w:r w:rsidRPr="00BE71D8">
        <w:rPr>
          <w:rStyle w:val="Gl"/>
          <w:b w:val="0"/>
          <w:color w:val="111111"/>
          <w:sz w:val="20"/>
          <w:szCs w:val="20"/>
          <w:shd w:val="clear" w:color="auto" w:fill="FBFBF3"/>
        </w:rPr>
        <w:t>7</w:t>
      </w:r>
      <w:r w:rsidRPr="00BE71D8">
        <w:rPr>
          <w:rStyle w:val="Gl"/>
          <w:b w:val="0"/>
          <w:color w:val="111111"/>
          <w:sz w:val="20"/>
          <w:szCs w:val="20"/>
          <w:shd w:val="clear" w:color="auto" w:fill="FBFBF3"/>
          <w:vertAlign w:val="superscript"/>
        </w:rPr>
        <w:t>th</w:t>
      </w:r>
      <w:r w:rsidRPr="00BE71D8">
        <w:rPr>
          <w:rStyle w:val="apple-converted-space"/>
          <w:b/>
          <w:bCs/>
          <w:color w:val="111111"/>
          <w:sz w:val="20"/>
          <w:szCs w:val="20"/>
          <w:shd w:val="clear" w:color="auto" w:fill="FBFBF3"/>
          <w:vertAlign w:val="superscript"/>
        </w:rPr>
        <w:t> </w:t>
      </w:r>
      <w:r w:rsidRPr="00BE71D8">
        <w:rPr>
          <w:rStyle w:val="Gl"/>
          <w:b w:val="0"/>
          <w:color w:val="111111"/>
          <w:sz w:val="20"/>
          <w:szCs w:val="20"/>
          <w:shd w:val="clear" w:color="auto" w:fill="FBFBF3"/>
        </w:rPr>
        <w:t xml:space="preserve">ECSBS </w:t>
      </w:r>
      <w:r w:rsidRPr="00BE71D8">
        <w:rPr>
          <w:b/>
          <w:bCs/>
          <w:color w:val="565656"/>
          <w:sz w:val="20"/>
          <w:szCs w:val="20"/>
        </w:rPr>
        <w:t>June 11-13, 2015</w:t>
      </w:r>
      <w:r w:rsidRPr="00BE71D8">
        <w:rPr>
          <w:color w:val="111111"/>
          <w:sz w:val="20"/>
          <w:szCs w:val="20"/>
          <w:shd w:val="clear" w:color="auto" w:fill="FBFBF3"/>
        </w:rPr>
        <w:t xml:space="preserve">, </w:t>
      </w:r>
      <w:r w:rsidRPr="00BE71D8">
        <w:rPr>
          <w:rFonts w:eastAsia="Times New Roman"/>
          <w:sz w:val="20"/>
          <w:szCs w:val="20"/>
          <w:lang w:eastAsia="tr-TR"/>
        </w:rPr>
        <w:t xml:space="preserve">Bucharest, Romania. </w:t>
      </w:r>
    </w:p>
    <w:p w:rsidR="009161F9" w:rsidRPr="00BE71D8" w:rsidRDefault="009161F9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2. </w:t>
      </w:r>
      <w:r w:rsidRPr="00BE71D8">
        <w:rPr>
          <w:sz w:val="20"/>
          <w:szCs w:val="20"/>
        </w:rPr>
        <w:t xml:space="preserve">AKÇAY, R.C. </w:t>
      </w:r>
      <w:proofErr w:type="spellStart"/>
      <w:r w:rsidRPr="00BE71D8">
        <w:rPr>
          <w:sz w:val="20"/>
          <w:szCs w:val="20"/>
        </w:rPr>
        <w:t>ve</w:t>
      </w:r>
      <w:proofErr w:type="spellEnd"/>
      <w:r w:rsidRPr="00BE71D8">
        <w:rPr>
          <w:sz w:val="20"/>
          <w:szCs w:val="20"/>
        </w:rPr>
        <w:t xml:space="preserve"> AKÇAY </w:t>
      </w:r>
      <w:proofErr w:type="spellStart"/>
      <w:r w:rsidRPr="00BE71D8">
        <w:rPr>
          <w:sz w:val="20"/>
          <w:szCs w:val="20"/>
        </w:rPr>
        <w:t>Üzüm</w:t>
      </w:r>
      <w:proofErr w:type="spellEnd"/>
      <w:r w:rsidRPr="00BE71D8">
        <w:rPr>
          <w:sz w:val="20"/>
          <w:szCs w:val="20"/>
        </w:rPr>
        <w:t xml:space="preserve">, P.  </w:t>
      </w:r>
      <w:r w:rsidRPr="00BE71D8">
        <w:rPr>
          <w:rFonts w:eastAsia="Times New Roman"/>
          <w:sz w:val="20"/>
          <w:szCs w:val="20"/>
          <w:lang w:eastAsia="tr-TR"/>
        </w:rPr>
        <w:t>(2015) "</w:t>
      </w:r>
      <w:r w:rsidRPr="00BE71D8">
        <w:rPr>
          <w:b/>
          <w:sz w:val="20"/>
          <w:szCs w:val="20"/>
        </w:rPr>
        <w:t xml:space="preserve"> Unıversıty Students’ Perceptıons And Attıtudes Of The Freedom Of Claımıng Educatıonal Rıghts</w:t>
      </w:r>
      <w:r w:rsidRPr="00BE71D8">
        <w:rPr>
          <w:rFonts w:eastAsia="Times New Roman"/>
          <w:b/>
          <w:sz w:val="20"/>
          <w:szCs w:val="20"/>
          <w:lang w:eastAsia="tr-TR"/>
        </w:rPr>
        <w:t xml:space="preserve">” </w:t>
      </w:r>
      <w:r w:rsidRPr="00BE71D8">
        <w:rPr>
          <w:rFonts w:eastAsia="Times New Roman"/>
          <w:sz w:val="20"/>
          <w:szCs w:val="20"/>
          <w:lang w:eastAsia="tr-TR"/>
        </w:rPr>
        <w:t xml:space="preserve">VII. </w:t>
      </w:r>
      <w:r w:rsidRPr="00BE71D8">
        <w:rPr>
          <w:rStyle w:val="Gl"/>
          <w:b w:val="0"/>
          <w:color w:val="111111"/>
          <w:sz w:val="20"/>
          <w:szCs w:val="20"/>
          <w:shd w:val="clear" w:color="auto" w:fill="FBFBF3"/>
        </w:rPr>
        <w:t>7</w:t>
      </w:r>
      <w:r w:rsidRPr="00BE71D8">
        <w:rPr>
          <w:rStyle w:val="Gl"/>
          <w:b w:val="0"/>
          <w:color w:val="111111"/>
          <w:sz w:val="20"/>
          <w:szCs w:val="20"/>
          <w:shd w:val="clear" w:color="auto" w:fill="FBFBF3"/>
          <w:vertAlign w:val="superscript"/>
        </w:rPr>
        <w:t>th</w:t>
      </w:r>
      <w:r w:rsidRPr="00BE71D8">
        <w:rPr>
          <w:rStyle w:val="apple-converted-space"/>
          <w:b/>
          <w:bCs/>
          <w:color w:val="111111"/>
          <w:sz w:val="20"/>
          <w:szCs w:val="20"/>
          <w:shd w:val="clear" w:color="auto" w:fill="FBFBF3"/>
          <w:vertAlign w:val="superscript"/>
        </w:rPr>
        <w:t> </w:t>
      </w:r>
      <w:r w:rsidRPr="00BE71D8">
        <w:rPr>
          <w:rStyle w:val="Gl"/>
          <w:b w:val="0"/>
          <w:color w:val="111111"/>
          <w:sz w:val="20"/>
          <w:szCs w:val="20"/>
          <w:shd w:val="clear" w:color="auto" w:fill="FBFBF3"/>
        </w:rPr>
        <w:t>World Conference on Educational Sciences</w:t>
      </w:r>
      <w:r w:rsidRPr="00BE71D8">
        <w:rPr>
          <w:rFonts w:eastAsia="Times New Roman"/>
          <w:sz w:val="20"/>
          <w:szCs w:val="20"/>
          <w:lang w:eastAsia="tr-TR"/>
        </w:rPr>
        <w:t xml:space="preserve">. </w:t>
      </w:r>
      <w:r w:rsidRPr="00BE71D8">
        <w:rPr>
          <w:rStyle w:val="apple-converted-space"/>
          <w:color w:val="111111"/>
          <w:sz w:val="20"/>
          <w:szCs w:val="20"/>
          <w:shd w:val="clear" w:color="auto" w:fill="FBFBF3"/>
        </w:rPr>
        <w:t> </w:t>
      </w:r>
      <w:r w:rsidRPr="00BE71D8">
        <w:rPr>
          <w:color w:val="111111"/>
          <w:sz w:val="20"/>
          <w:szCs w:val="20"/>
          <w:shd w:val="clear" w:color="auto" w:fill="FBFBF3"/>
        </w:rPr>
        <w:t>February 05</w:t>
      </w:r>
      <w:r w:rsidRPr="00BE71D8">
        <w:rPr>
          <w:color w:val="111111"/>
          <w:sz w:val="20"/>
          <w:szCs w:val="20"/>
          <w:shd w:val="clear" w:color="auto" w:fill="FBFBF3"/>
          <w:vertAlign w:val="superscript"/>
        </w:rPr>
        <w:t>th</w:t>
      </w:r>
      <w:r w:rsidRPr="00BE71D8">
        <w:rPr>
          <w:color w:val="111111"/>
          <w:sz w:val="20"/>
          <w:szCs w:val="20"/>
          <w:shd w:val="clear" w:color="auto" w:fill="FBFBF3"/>
        </w:rPr>
        <w:t>– 07</w:t>
      </w:r>
      <w:r w:rsidRPr="00BE71D8">
        <w:rPr>
          <w:color w:val="111111"/>
          <w:sz w:val="20"/>
          <w:szCs w:val="20"/>
          <w:shd w:val="clear" w:color="auto" w:fill="FBFBF3"/>
          <w:vertAlign w:val="superscript"/>
        </w:rPr>
        <w:t>th</w:t>
      </w:r>
      <w:r w:rsidRPr="00BE71D8">
        <w:rPr>
          <w:rStyle w:val="apple-converted-space"/>
          <w:color w:val="111111"/>
          <w:sz w:val="20"/>
          <w:szCs w:val="20"/>
          <w:shd w:val="clear" w:color="auto" w:fill="FBFBF3"/>
        </w:rPr>
        <w:t> </w:t>
      </w:r>
      <w:r w:rsidRPr="00BE71D8">
        <w:rPr>
          <w:color w:val="111111"/>
          <w:sz w:val="20"/>
          <w:szCs w:val="20"/>
          <w:shd w:val="clear" w:color="auto" w:fill="FBFBF3"/>
        </w:rPr>
        <w:t xml:space="preserve">2015, </w:t>
      </w:r>
      <w:r w:rsidRPr="00BE71D8">
        <w:rPr>
          <w:rFonts w:eastAsia="Times New Roman"/>
          <w:sz w:val="20"/>
          <w:szCs w:val="20"/>
          <w:lang w:eastAsia="tr-TR"/>
        </w:rPr>
        <w:t>Athens, Greece.</w:t>
      </w:r>
    </w:p>
    <w:p w:rsidR="009161F9" w:rsidRPr="00BE71D8" w:rsidRDefault="009161F9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3. YILDIRIM, R.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AKÇAY, R, C. (2013) "</w:t>
      </w:r>
      <w:r w:rsidRPr="00BE71D8">
        <w:rPr>
          <w:sz w:val="20"/>
          <w:szCs w:val="20"/>
        </w:rPr>
        <w:t xml:space="preserve"> Evaluating the continuing education centers in terms of lifelong learning</w:t>
      </w:r>
      <w:r w:rsidRPr="00BE71D8">
        <w:rPr>
          <w:rFonts w:eastAsia="Times New Roman"/>
          <w:sz w:val="20"/>
          <w:szCs w:val="20"/>
          <w:lang w:eastAsia="tr-TR"/>
        </w:rPr>
        <w:t xml:space="preserve"> " V. International Congress on Education. Rome, Italy. Procedia Social and Behavioral Sciences. 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www</w:t>
      </w:r>
      <w:proofErr w:type="gramEnd"/>
      <w:r w:rsidRPr="00BE71D8">
        <w:rPr>
          <w:rFonts w:eastAsia="Times New Roman"/>
          <w:sz w:val="20"/>
          <w:szCs w:val="20"/>
          <w:lang w:eastAsia="tr-TR"/>
        </w:rPr>
        <w:t>. elseiver.com/locate/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procedia</w:t>
      </w:r>
      <w:proofErr w:type="spellEnd"/>
    </w:p>
    <w:p w:rsidR="009161F9" w:rsidRPr="00BE71D8" w:rsidRDefault="009161F9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4. AKYOL, B.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AKÇAY, C. (2013) "Self-actualization levels and education of participants in lifelong education centers" V. International Congress on Education. Rome, Italy. Procedia Social and Behavioral Sciences. 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www</w:t>
      </w:r>
      <w:proofErr w:type="gramEnd"/>
      <w:r w:rsidRPr="00BE71D8">
        <w:rPr>
          <w:rFonts w:eastAsia="Times New Roman"/>
          <w:sz w:val="20"/>
          <w:szCs w:val="20"/>
          <w:lang w:eastAsia="tr-TR"/>
        </w:rPr>
        <w:t xml:space="preserve">. elseiver.com/locate/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procedia</w:t>
      </w:r>
      <w:proofErr w:type="spellEnd"/>
    </w:p>
    <w:p w:rsidR="009161F9" w:rsidRPr="00BE71D8" w:rsidRDefault="009161F9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5. AKYOL, B.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AKÇAY, C. (2012) "Self-actualization levels and education of participants in lifelong education centers" IV. International Congress on Education. Barcelona, Spain. Procedia Social and Behavioral Sciences. 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www</w:t>
      </w:r>
      <w:proofErr w:type="gramEnd"/>
      <w:r w:rsidRPr="00BE71D8">
        <w:rPr>
          <w:rFonts w:eastAsia="Times New Roman"/>
          <w:sz w:val="20"/>
          <w:szCs w:val="20"/>
          <w:lang w:eastAsia="tr-TR"/>
        </w:rPr>
        <w:t>. elseiver.com/ locate/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procedia</w:t>
      </w:r>
      <w:proofErr w:type="spellEnd"/>
    </w:p>
    <w:p w:rsidR="009161F9" w:rsidRPr="00BE71D8" w:rsidRDefault="009161F9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6.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Akçay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R. C.,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Karslı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M. D. (2010). The Duties of the Universities Within the Concept 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Of  LLL</w:t>
      </w:r>
      <w:proofErr w:type="gramEnd"/>
      <w:r w:rsidRPr="00BE71D8">
        <w:rPr>
          <w:rFonts w:eastAsia="Times New Roman"/>
          <w:sz w:val="20"/>
          <w:szCs w:val="20"/>
          <w:lang w:eastAsia="tr-TR"/>
        </w:rPr>
        <w:t>. 2nd International Symposium on Sustainable Development. June 8-9 2010. Sarajevo. Bosnia and Herzegovina.</w:t>
      </w:r>
    </w:p>
    <w:p w:rsidR="009161F9" w:rsidRPr="00BE71D8" w:rsidRDefault="009161F9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7.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Akcay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C.,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Arslan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H., &amp;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Karslı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, M.D., (2010). Professorial Leadership in Higher Education" European Research Association Conference on Educational Research. Helsinki, Finland, 25-27 August 2010</w:t>
      </w:r>
    </w:p>
    <w:p w:rsidR="009161F9" w:rsidRPr="00BE71D8" w:rsidRDefault="009161F9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lastRenderedPageBreak/>
        <w:t xml:space="preserve">8.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Akçay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Cengiz (2008). "School in 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The</w:t>
      </w:r>
      <w:proofErr w:type="gramEnd"/>
      <w:r w:rsidRPr="00BE71D8">
        <w:rPr>
          <w:rFonts w:eastAsia="Times New Roman"/>
          <w:sz w:val="20"/>
          <w:szCs w:val="20"/>
          <w:lang w:eastAsia="tr-TR"/>
        </w:rPr>
        <w:t xml:space="preserve"> Concept of Lifelong Education", IV International Scientific Conference-Contemporary Intentions in Education,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Makedonya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.</w:t>
      </w:r>
    </w:p>
    <w:p w:rsidR="009161F9" w:rsidRPr="00BE71D8" w:rsidRDefault="009161F9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>9. AKÇAY, Cengiz (2008). "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Türkiye’de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Sosyal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Bilgiler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Eğitiminin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Amaçları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İşlevleri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Açısından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Değerlendirilmesi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Ders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Dışı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Etkinlikleri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Kapsayan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Yeni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Bir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Model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Önerisi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",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Uluslararası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Sosyal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Bilgiler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Sempozyumu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14-16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Mayıs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2008,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Çanakkale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.</w:t>
      </w:r>
    </w:p>
    <w:p w:rsidR="009161F9" w:rsidRPr="00BE71D8" w:rsidRDefault="009161F9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10.  AKÇAY, Cengiz (2007). 4. “The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Personel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Demographic,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Homelife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Family relationships and Social Life of The Aged People”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Uluslar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arası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Sağlık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Hastane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Yönetimi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Kongresi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. International Health and Hospital Administration Congress. Near East University- Nicosia- Turkish Republic of Northern Cyprus. June 01-03 2007</w:t>
      </w:r>
    </w:p>
    <w:p w:rsidR="009161F9" w:rsidRPr="00BE71D8" w:rsidRDefault="009161F9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>11.</w:t>
      </w:r>
      <w:r w:rsidRPr="00BE71D8">
        <w:rPr>
          <w:sz w:val="20"/>
          <w:szCs w:val="20"/>
        </w:rPr>
        <w:t xml:space="preserve"> </w:t>
      </w:r>
      <w:r w:rsidRPr="00BE71D8">
        <w:rPr>
          <w:rFonts w:eastAsia="Times New Roman"/>
          <w:sz w:val="20"/>
          <w:szCs w:val="20"/>
          <w:lang w:eastAsia="tr-TR"/>
        </w:rPr>
        <w:t>AKÇAY, Cengiz (2006)."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Öğretmen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Yetiştirme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Araştırmalarının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Değerlendirilmesi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”. III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Uluslar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arası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Öğretmen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Yetiştirme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Sempozyumu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 4-5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Mayıs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2006,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Çanakkale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Türkiye</w:t>
      </w:r>
      <w:proofErr w:type="spellEnd"/>
    </w:p>
    <w:p w:rsidR="009161F9" w:rsidRPr="00BE71D8" w:rsidRDefault="009161F9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12.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Akçay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Cengiz (2004). "University Students’ Points Of View 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About</w:t>
      </w:r>
      <w:proofErr w:type="gramEnd"/>
      <w:r w:rsidRPr="00BE71D8">
        <w:rPr>
          <w:rFonts w:eastAsia="Times New Roman"/>
          <w:sz w:val="20"/>
          <w:szCs w:val="20"/>
          <w:lang w:eastAsia="tr-TR"/>
        </w:rPr>
        <w:t xml:space="preserve"> Globalization",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Uluslarası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II. Balkan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Bilimleri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Sempozyumu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8-10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Ekim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2004, Edirne.</w:t>
      </w:r>
    </w:p>
    <w:p w:rsidR="009161F9" w:rsidRPr="00BE71D8" w:rsidRDefault="009161F9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13.  AKÇAY, Cengiz (2002). 2. “Natıonal Education System From A Teacher's Poınt Of Vıew” EDUCATION : CHANGING TIMES, CHANGING NEEDS FIRST INTERNATIONAL CONFERENCE ON EDUCATION Faculty of Education Eastern Mediterranean University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Gazimagusa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, Turkish Republic of Northern Cyprus.</w:t>
      </w:r>
    </w:p>
    <w:p w:rsidR="009161F9" w:rsidRPr="00BE71D8" w:rsidRDefault="009161F9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14.  AKÇAY, Cengiz (2000).  “The effectiveness of in-service training programs for school principals in Turkey”. The Unıversity Council for Educatıonal Administration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yıllık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kongresi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 3-5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Kasım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2000, Albuquerque, New Mexico, USA.</w:t>
      </w:r>
    </w:p>
    <w:p w:rsidR="009161F9" w:rsidRDefault="009161F9" w:rsidP="00962011">
      <w:pPr>
        <w:spacing w:after="0"/>
        <w:rPr>
          <w:b/>
          <w:lang w:val="tr-TR"/>
        </w:rPr>
      </w:pPr>
    </w:p>
    <w:p w:rsidR="00962011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>7.4. Scientific b</w:t>
      </w:r>
      <w:r w:rsidR="00962011">
        <w:rPr>
          <w:b/>
          <w:lang w:val="tr-TR"/>
        </w:rPr>
        <w:t xml:space="preserve">ook(s) and chapter(s) in </w:t>
      </w:r>
      <w:r>
        <w:rPr>
          <w:b/>
          <w:lang w:val="tr-TR"/>
        </w:rPr>
        <w:t>book(s) published by international publishers</w:t>
      </w:r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7.5. Scientific articles published in </w:t>
      </w:r>
      <w:proofErr w:type="spellStart"/>
      <w:r>
        <w:rPr>
          <w:b/>
          <w:lang w:val="tr-TR"/>
        </w:rPr>
        <w:t>refereed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journals</w:t>
      </w:r>
      <w:proofErr w:type="spellEnd"/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1. AKYOL, B.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AKÇAY, C. (2015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)  “</w:t>
      </w:r>
      <w:proofErr w:type="gramEnd"/>
      <w:r w:rsidRPr="00BE71D8">
        <w:rPr>
          <w:b/>
          <w:bCs/>
          <w:sz w:val="20"/>
          <w:szCs w:val="20"/>
        </w:rPr>
        <w:t xml:space="preserve">Analysıs Of Organızatıonal </w:t>
      </w:r>
      <w:proofErr w:type="spellStart"/>
      <w:r w:rsidRPr="00BE71D8">
        <w:rPr>
          <w:b/>
          <w:bCs/>
          <w:sz w:val="20"/>
          <w:szCs w:val="20"/>
        </w:rPr>
        <w:t>Behavıour</w:t>
      </w:r>
      <w:proofErr w:type="spellEnd"/>
      <w:r w:rsidRPr="00BE71D8">
        <w:rPr>
          <w:b/>
          <w:bCs/>
          <w:sz w:val="20"/>
          <w:szCs w:val="20"/>
        </w:rPr>
        <w:t xml:space="preserve"> Studıes In Turkey1  </w:t>
      </w:r>
      <w:r w:rsidRPr="00BE71D8">
        <w:rPr>
          <w:sz w:val="20"/>
          <w:szCs w:val="20"/>
        </w:rPr>
        <w:t>(</w:t>
      </w:r>
      <w:proofErr w:type="spellStart"/>
      <w:r w:rsidRPr="00BE71D8">
        <w:rPr>
          <w:sz w:val="20"/>
          <w:szCs w:val="20"/>
        </w:rPr>
        <w:t>Türkiye'deki</w:t>
      </w:r>
      <w:proofErr w:type="spellEnd"/>
      <w:r w:rsidRPr="00BE71D8">
        <w:rPr>
          <w:sz w:val="20"/>
          <w:szCs w:val="20"/>
        </w:rPr>
        <w:t xml:space="preserve"> </w:t>
      </w:r>
      <w:proofErr w:type="spellStart"/>
      <w:r w:rsidRPr="00BE71D8">
        <w:rPr>
          <w:sz w:val="20"/>
          <w:szCs w:val="20"/>
        </w:rPr>
        <w:t>Örgütsel</w:t>
      </w:r>
      <w:proofErr w:type="spellEnd"/>
      <w:r w:rsidRPr="00BE71D8">
        <w:rPr>
          <w:sz w:val="20"/>
          <w:szCs w:val="20"/>
        </w:rPr>
        <w:t xml:space="preserve"> </w:t>
      </w:r>
      <w:proofErr w:type="spellStart"/>
      <w:r w:rsidRPr="00BE71D8">
        <w:rPr>
          <w:sz w:val="20"/>
          <w:szCs w:val="20"/>
        </w:rPr>
        <w:t>Davranış</w:t>
      </w:r>
      <w:proofErr w:type="spellEnd"/>
      <w:r w:rsidRPr="00BE71D8">
        <w:rPr>
          <w:sz w:val="20"/>
          <w:szCs w:val="20"/>
        </w:rPr>
        <w:t xml:space="preserve"> </w:t>
      </w:r>
      <w:proofErr w:type="spellStart"/>
      <w:r w:rsidRPr="00BE71D8">
        <w:rPr>
          <w:sz w:val="20"/>
          <w:szCs w:val="20"/>
        </w:rPr>
        <w:t>Çalışmalarının</w:t>
      </w:r>
      <w:proofErr w:type="spellEnd"/>
      <w:r w:rsidRPr="00BE71D8">
        <w:rPr>
          <w:sz w:val="20"/>
          <w:szCs w:val="20"/>
        </w:rPr>
        <w:t xml:space="preserve"> </w:t>
      </w:r>
      <w:proofErr w:type="spellStart"/>
      <w:r w:rsidRPr="00BE71D8">
        <w:rPr>
          <w:sz w:val="20"/>
          <w:szCs w:val="20"/>
        </w:rPr>
        <w:t>Analizi</w:t>
      </w:r>
      <w:proofErr w:type="spellEnd"/>
      <w:r w:rsidRPr="00BE71D8">
        <w:rPr>
          <w:sz w:val="20"/>
          <w:szCs w:val="20"/>
        </w:rPr>
        <w:t xml:space="preserve">)”   </w:t>
      </w:r>
      <w:proofErr w:type="spellStart"/>
      <w:r w:rsidRPr="00BE71D8">
        <w:rPr>
          <w:i/>
          <w:iCs/>
          <w:sz w:val="20"/>
          <w:szCs w:val="20"/>
        </w:rPr>
        <w:t>Eğitimde</w:t>
      </w:r>
      <w:proofErr w:type="spellEnd"/>
      <w:r w:rsidRPr="00BE71D8">
        <w:rPr>
          <w:i/>
          <w:iCs/>
          <w:sz w:val="20"/>
          <w:szCs w:val="20"/>
        </w:rPr>
        <w:t xml:space="preserve"> </w:t>
      </w:r>
      <w:proofErr w:type="spellStart"/>
      <w:r w:rsidRPr="00BE71D8">
        <w:rPr>
          <w:i/>
          <w:iCs/>
          <w:sz w:val="20"/>
          <w:szCs w:val="20"/>
        </w:rPr>
        <w:t>Kuram</w:t>
      </w:r>
      <w:proofErr w:type="spellEnd"/>
      <w:r w:rsidRPr="00BE71D8">
        <w:rPr>
          <w:i/>
          <w:iCs/>
          <w:sz w:val="20"/>
          <w:szCs w:val="20"/>
        </w:rPr>
        <w:t xml:space="preserve"> </w:t>
      </w:r>
      <w:proofErr w:type="spellStart"/>
      <w:r w:rsidRPr="00BE71D8">
        <w:rPr>
          <w:i/>
          <w:iCs/>
          <w:sz w:val="20"/>
          <w:szCs w:val="20"/>
        </w:rPr>
        <w:t>ve</w:t>
      </w:r>
      <w:proofErr w:type="spellEnd"/>
      <w:r w:rsidRPr="00BE71D8">
        <w:rPr>
          <w:i/>
          <w:iCs/>
          <w:sz w:val="20"/>
          <w:szCs w:val="20"/>
        </w:rPr>
        <w:t xml:space="preserve"> </w:t>
      </w:r>
      <w:proofErr w:type="spellStart"/>
      <w:r w:rsidRPr="00BE71D8">
        <w:rPr>
          <w:i/>
          <w:iCs/>
          <w:sz w:val="20"/>
          <w:szCs w:val="20"/>
        </w:rPr>
        <w:t>Uygulama</w:t>
      </w:r>
      <w:proofErr w:type="spellEnd"/>
      <w:r w:rsidRPr="00BE71D8">
        <w:rPr>
          <w:i/>
          <w:iCs/>
          <w:sz w:val="20"/>
          <w:szCs w:val="20"/>
        </w:rPr>
        <w:t xml:space="preserve"> </w:t>
      </w:r>
      <w:r w:rsidRPr="00BE71D8">
        <w:rPr>
          <w:sz w:val="20"/>
          <w:szCs w:val="20"/>
        </w:rPr>
        <w:t xml:space="preserve"> </w:t>
      </w:r>
      <w:r w:rsidRPr="00BE71D8">
        <w:rPr>
          <w:i/>
          <w:iCs/>
          <w:sz w:val="20"/>
          <w:szCs w:val="20"/>
        </w:rPr>
        <w:t xml:space="preserve">Journal of Theory and Practice in Education 2015, 11(1), 149-170 </w:t>
      </w:r>
      <w:r w:rsidRPr="00BE71D8">
        <w:rPr>
          <w:sz w:val="20"/>
          <w:szCs w:val="20"/>
        </w:rPr>
        <w:t xml:space="preserve">  </w:t>
      </w:r>
      <w:r w:rsidRPr="00BE71D8">
        <w:rPr>
          <w:i/>
          <w:iCs/>
          <w:sz w:val="20"/>
          <w:szCs w:val="20"/>
        </w:rPr>
        <w:t>ISSN: 1304-9496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2.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Akçay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R. C. (2012).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Dönüşümsel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Öğrenme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Kuramı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Yetişkin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Eğitiminde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Dönüşüm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Milli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Dergisi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, 41 (196); s. 5-19.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3.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Akçay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, R. C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. ,</w:t>
      </w:r>
      <w:proofErr w:type="gram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 w:cs="Calibri"/>
          <w:color w:val="282828"/>
          <w:sz w:val="20"/>
          <w:szCs w:val="20"/>
          <w:shd w:val="clear" w:color="auto" w:fill="FFFFFF"/>
          <w:lang w:eastAsia="tr-TR"/>
        </w:rPr>
        <w:t>Çoruk</w:t>
      </w:r>
      <w:proofErr w:type="spellEnd"/>
      <w:r w:rsidRPr="00BE71D8">
        <w:rPr>
          <w:rFonts w:eastAsia="Times New Roman" w:cs="Calibri"/>
          <w:color w:val="282828"/>
          <w:sz w:val="20"/>
          <w:szCs w:val="20"/>
          <w:shd w:val="clear" w:color="auto" w:fill="FFFFFF"/>
          <w:lang w:eastAsia="tr-TR"/>
        </w:rPr>
        <w:t xml:space="preserve">, A. </w:t>
      </w:r>
      <w:r w:rsidRPr="00BE71D8">
        <w:rPr>
          <w:rFonts w:eastAsia="Times New Roman"/>
          <w:sz w:val="20"/>
          <w:szCs w:val="20"/>
          <w:lang w:eastAsia="tr-TR"/>
        </w:rPr>
        <w:t xml:space="preserve">(2012).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Çalışma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Yaşamında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Duygular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Yönetimi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: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Kavramsal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Bir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İnceleme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Eskişehir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Osmangazi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Üniversitesi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Bilimleri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Enstitüsü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Dergisi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.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>4.</w:t>
      </w:r>
      <w:r w:rsidRPr="00BE71D8">
        <w:rPr>
          <w:rFonts w:eastAsia="Times New Roman" w:cs="Calibri"/>
          <w:color w:val="282828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 w:rsidRPr="00BE71D8">
        <w:rPr>
          <w:rFonts w:eastAsia="Times New Roman" w:cs="Calibri"/>
          <w:color w:val="282828"/>
          <w:sz w:val="20"/>
          <w:szCs w:val="20"/>
          <w:shd w:val="clear" w:color="auto" w:fill="FFFFFF"/>
          <w:lang w:eastAsia="tr-TR"/>
        </w:rPr>
        <w:t>Çoruk</w:t>
      </w:r>
      <w:proofErr w:type="spellEnd"/>
      <w:r w:rsidRPr="00BE71D8">
        <w:rPr>
          <w:rFonts w:eastAsia="Times New Roman" w:cs="Calibri"/>
          <w:color w:val="282828"/>
          <w:sz w:val="20"/>
          <w:szCs w:val="20"/>
          <w:shd w:val="clear" w:color="auto" w:fill="FFFFFF"/>
          <w:lang w:eastAsia="tr-TR"/>
        </w:rPr>
        <w:t xml:space="preserve">, A., </w:t>
      </w:r>
      <w:proofErr w:type="spellStart"/>
      <w:r w:rsidRPr="00BE71D8">
        <w:rPr>
          <w:rFonts w:eastAsia="Times New Roman" w:cs="Calibri"/>
          <w:color w:val="282828"/>
          <w:sz w:val="20"/>
          <w:szCs w:val="20"/>
          <w:shd w:val="clear" w:color="auto" w:fill="FFFFFF"/>
          <w:lang w:eastAsia="tr-TR"/>
        </w:rPr>
        <w:t>Akçay</w:t>
      </w:r>
      <w:proofErr w:type="spellEnd"/>
      <w:r w:rsidRPr="00BE71D8">
        <w:rPr>
          <w:rFonts w:eastAsia="Times New Roman" w:cs="Calibri"/>
          <w:color w:val="282828"/>
          <w:sz w:val="20"/>
          <w:szCs w:val="20"/>
          <w:shd w:val="clear" w:color="auto" w:fill="FFFFFF"/>
          <w:lang w:eastAsia="tr-TR"/>
        </w:rPr>
        <w:t xml:space="preserve">, R. C. </w:t>
      </w:r>
      <w:r w:rsidRPr="00BE71D8">
        <w:rPr>
          <w:rFonts w:eastAsia="Times New Roman"/>
          <w:sz w:val="20"/>
          <w:szCs w:val="20"/>
          <w:lang w:eastAsia="tr-TR"/>
        </w:rPr>
        <w:t xml:space="preserve">(2012).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Süreçleri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Açısından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Yöneticilerin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Duygu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Yönetimi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Davranışları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Ölçeği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: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Geçerlik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Güvenirlik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Çalışması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Buca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Fakültesi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Dergisi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Sayı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: 33.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5.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Akçay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, R. C. (2004). “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İlköğretim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Okul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Müdürlerinin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Yönetsel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Görevler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Ayırdıkları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Zaman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Bunları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Önemli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Görme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Dereceleri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”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Kuramda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Uygulamada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Yönetimi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. Yıl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:10</w:t>
      </w:r>
      <w:proofErr w:type="gram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Sayı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: 38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6.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Akçay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, R. C. (2003). “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Küreselleşme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Eğitimsel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Yoksunluk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Yetişkin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”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Milli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Dergisi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Yaz</w:t>
      </w:r>
      <w:proofErr w:type="spellEnd"/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7.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Akçay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, R. C. (2001)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.“</w:t>
      </w:r>
      <w:proofErr w:type="spellStart"/>
      <w:proofErr w:type="gramEnd"/>
      <w:r w:rsidRPr="00BE71D8">
        <w:rPr>
          <w:rFonts w:eastAsia="Times New Roman"/>
          <w:sz w:val="20"/>
          <w:szCs w:val="20"/>
          <w:lang w:eastAsia="tr-TR"/>
        </w:rPr>
        <w:t>Türk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Sisteminin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Amaç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Boyutundaki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Sorunları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.”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Araştırmaları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Dergisi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.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proofErr w:type="gramStart"/>
      <w:r w:rsidRPr="00BE71D8">
        <w:rPr>
          <w:rFonts w:eastAsia="Times New Roman"/>
          <w:sz w:val="20"/>
          <w:szCs w:val="20"/>
          <w:lang w:eastAsia="tr-TR"/>
        </w:rPr>
        <w:t>8.Akçay</w:t>
      </w:r>
      <w:proofErr w:type="gramEnd"/>
      <w:r w:rsidRPr="00BE71D8">
        <w:rPr>
          <w:rFonts w:eastAsia="Times New Roman"/>
          <w:sz w:val="20"/>
          <w:szCs w:val="20"/>
          <w:lang w:eastAsia="tr-TR"/>
        </w:rPr>
        <w:t>, R. C. (2001). “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Yaşlı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Çalışanlar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.”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Verimlilik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Dergisi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Sayı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: 4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lastRenderedPageBreak/>
        <w:t xml:space="preserve">9.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Akçay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, R. C. (1997). “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Okulda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Toplantı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Yönetimi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.”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Milli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Dergisi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Sayı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: 135.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10.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Akçay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, R. C. (1997)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.“</w:t>
      </w:r>
      <w:proofErr w:type="spellStart"/>
      <w:proofErr w:type="gramEnd"/>
      <w:r w:rsidRPr="00BE71D8">
        <w:rPr>
          <w:rFonts w:eastAsia="Times New Roman"/>
          <w:sz w:val="20"/>
          <w:szCs w:val="20"/>
          <w:lang w:eastAsia="tr-TR"/>
        </w:rPr>
        <w:t>Fiziksel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Mekan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Okul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Kültürü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.”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Çağdaş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Dergisi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. Sayı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:236</w:t>
      </w:r>
      <w:proofErr w:type="gramEnd"/>
      <w:r w:rsidRPr="00BE71D8">
        <w:rPr>
          <w:rFonts w:eastAsia="Times New Roman"/>
          <w:sz w:val="20"/>
          <w:szCs w:val="20"/>
          <w:lang w:eastAsia="tr-TR"/>
        </w:rPr>
        <w:t>.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11.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Akçay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, R. C. (1997)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.“</w:t>
      </w:r>
      <w:proofErr w:type="spellStart"/>
      <w:proofErr w:type="gramEnd"/>
      <w:r w:rsidRPr="00BE71D8">
        <w:rPr>
          <w:rFonts w:eastAsia="Times New Roman"/>
          <w:sz w:val="20"/>
          <w:szCs w:val="20"/>
          <w:lang w:eastAsia="tr-TR"/>
        </w:rPr>
        <w:t>Ortaöğretim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Yükseköğretimde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Bir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Süreci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Olarak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Değerlendirme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.” Ankara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Üniversitesi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Bilimleri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Fakültesi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Dergisi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Cilt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: 27, Sayı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:2</w:t>
      </w:r>
      <w:proofErr w:type="gramEnd"/>
      <w:r w:rsidRPr="00BE71D8">
        <w:rPr>
          <w:rFonts w:eastAsia="Times New Roman"/>
          <w:sz w:val="20"/>
          <w:szCs w:val="20"/>
          <w:lang w:eastAsia="tr-TR"/>
        </w:rPr>
        <w:t>.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12.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Akçay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, R. C. (1996)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.“</w:t>
      </w:r>
      <w:proofErr w:type="spellStart"/>
      <w:proofErr w:type="gramEnd"/>
      <w:r w:rsidRPr="00BE71D8">
        <w:rPr>
          <w:rFonts w:eastAsia="Times New Roman"/>
          <w:sz w:val="20"/>
          <w:szCs w:val="20"/>
          <w:lang w:eastAsia="tr-TR"/>
        </w:rPr>
        <w:t>Öğretmenlerin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Emekliliğe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Hazırlık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Eğitimine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İhtiyaçları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.”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Milli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Dergisi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Sayı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: 132.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13.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Akçay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, R. C. (1995)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.“</w:t>
      </w:r>
      <w:proofErr w:type="spellStart"/>
      <w:proofErr w:type="gramEnd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Yönetiminde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Değerlendirme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Süreci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.” Ankara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Üniversitesi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Bilimleri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Fakültesi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Dergisi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Cilt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: 27, Sayı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:1</w:t>
      </w:r>
      <w:proofErr w:type="gramEnd"/>
      <w:r w:rsidRPr="00BE71D8">
        <w:rPr>
          <w:rFonts w:eastAsia="Times New Roman"/>
          <w:sz w:val="20"/>
          <w:szCs w:val="20"/>
          <w:lang w:eastAsia="tr-TR"/>
        </w:rPr>
        <w:t>.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14.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Akçay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, R. C. (1991)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.“</w:t>
      </w:r>
      <w:proofErr w:type="spellStart"/>
      <w:proofErr w:type="gramEnd"/>
      <w:r w:rsidRPr="00BE71D8">
        <w:rPr>
          <w:rFonts w:eastAsia="Times New Roman"/>
          <w:sz w:val="20"/>
          <w:szCs w:val="20"/>
          <w:lang w:eastAsia="tr-TR"/>
        </w:rPr>
        <w:t>Emekli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Öğretmenleri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Unutmayalım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.”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Milli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Dergisi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Sayı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: 112.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15.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Akçay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, R. C. (1990)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.“</w:t>
      </w:r>
      <w:proofErr w:type="spellStart"/>
      <w:proofErr w:type="gramEnd"/>
      <w:r w:rsidRPr="00BE71D8">
        <w:rPr>
          <w:rFonts w:eastAsia="Times New Roman"/>
          <w:sz w:val="20"/>
          <w:szCs w:val="20"/>
          <w:lang w:eastAsia="tr-TR"/>
        </w:rPr>
        <w:t>Türk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Dili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Öğretiminde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Yaygın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Eğitimin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Rolü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Önemi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.”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Milli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Dergisi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Sayı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: 102.</w:t>
      </w:r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7.6. Scientific presentations presented at and published in the proceedings of </w:t>
      </w:r>
      <w:proofErr w:type="spellStart"/>
      <w:r>
        <w:rPr>
          <w:b/>
          <w:lang w:val="tr-TR"/>
        </w:rPr>
        <w:t>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conferences</w:t>
      </w:r>
      <w:proofErr w:type="spellEnd"/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1. AKYOL, B.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AKÇAY, C. (2012) "ÖZEL OKULLARDA GÖREV YAPAN ÖĞRETMENLERİN ÖRGÜTSEL ADALET ALGILARI" 7.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Ulusal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Yönetimi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Kongresi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İnönü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Üniversitesi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, Malatya.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2.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Akçay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R. C.,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Akyol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B. (2011).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Türkiye'de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Örgütsel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Davranış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Alanında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Yapılan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Lisansüstü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Tezlere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İlişkin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Araştırma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 6.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Ulusal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Yönetimi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Kongresi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16-17 Nisan 2011.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Kıbrıs</w:t>
      </w:r>
      <w:proofErr w:type="spellEnd"/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3.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Akçay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R.C., ÇORUK, A. (2009)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Elemanlarının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Performanslarının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Değerlendirilmesinde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Özdeğerlendirmenin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Kullanılabilirliği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 IV.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Ulusal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Yönetimi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Kongresi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14-15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Mayıs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2009.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Pamukkale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Üniversitesi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Fakültesi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Denizli</w:t>
      </w:r>
      <w:proofErr w:type="spellEnd"/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>4. ÇAĞATAY, Ş. M; AKÇAY, R.C. (2009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)  "</w:t>
      </w:r>
      <w:proofErr w:type="spellStart"/>
      <w:proofErr w:type="gramEnd"/>
      <w:r w:rsidRPr="00BE71D8">
        <w:rPr>
          <w:rFonts w:eastAsia="Times New Roman"/>
          <w:sz w:val="20"/>
          <w:szCs w:val="20"/>
          <w:lang w:eastAsia="tr-TR"/>
        </w:rPr>
        <w:t>Öğretmen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Görüşlerine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Göre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Karakter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Eğitiminde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Karakter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Gelişiminde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Okulun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Rolü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" 18.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Ulusal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Bilimleri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Kurultayı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Ege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Üniversitesi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Fakültesi.1-3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Ekim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2009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5. AKÇAY, Cengiz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Serpil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AKARCA (2008). "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Özel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Gören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Çocukların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Ailelerinin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Çocukların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Tanısı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İle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İlgili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Tutumları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Bu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Konuda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Olan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Gereksinimleri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", 7.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Ulusal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Sınıf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Öğretmenliği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Sempozyumu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2-4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Mayıs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2008,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Çanakkale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.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6.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Akçay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Cengiz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Berna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Aras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Çakar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, (2008). “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Sosyal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Bilgiler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Dersinde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Sevgi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Eğitiminin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Öğretmenlerce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Değerlendirilmesi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”, 17.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Ulusal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Bilimleri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Kongresi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1-3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Eylül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2008,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Sakarya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Üniversitesi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Sakarya</w:t>
      </w:r>
      <w:proofErr w:type="spellEnd"/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>7. AKÇAY, Cengiz (2007) “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Yönetimi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Alanında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Lisansüstü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Çalışmalar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Yapan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Üniversiteler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”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Okul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Yöneticileri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Deneticileri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Araştırma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Geliştirme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Derneği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Yönetimi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Sempozyumu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21-22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Haziran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2007.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>8. AKÇAY C., O. Y. KARTAL, N. CANBAZ, M. SAVRUL, (2007) "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Bilimleri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Alanında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Yapılan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Yüksek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Lisans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Tezlerinin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Alan,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Konu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Yöntem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Açısından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Değerlendirmesi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", III.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Lisansüstü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Sempozyumu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17-20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Ekim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2007,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Anadolu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Üniversitesi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Bilimleri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Enstitüsü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Eskişehir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.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>9. AKÇAY, Cengiz (2000) “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Yaygın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Öğretmen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Yetiştirme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”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Çanakkale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Onsekiz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Mart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Üniversitesi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Fakültesi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2.Ulusal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Öğretmen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Yetiştirme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Sempozyumu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10-12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Mayıs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2000.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lastRenderedPageBreak/>
        <w:t>10. AKÇAY, Cengiz (1998) “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Öğrenen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Toplum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Öğrenen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Okul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Öğrenen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Öğretmen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.”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Çanakkale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Onsekiz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Mart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Üniversitesi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Fakültesi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Öğretmen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Okullarının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Kuruluşu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Yıldönümünde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Sunulan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Bildiri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. 16 Mart 1998.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>11. AKÇAY, Cengiz (1998) “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İlköğretim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Okulu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Yönetici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Profili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”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Pamukkale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Üniversitesi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Fakültesi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4.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Ulusal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Sınıf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Öğretmenliği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Sempozyumu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15-16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Ekim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1998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>12. AKÇAY, Cengiz (1997) 2. “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Öğretmen-Öğrenci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İlişkilerinin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İnformal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Boyutlarını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Ortaya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Koymada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Bir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Araştırma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: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Öğretmenlere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Verilen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Lakaplar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.”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Çanakkale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Onsekiz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Mart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Üniversitesi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Uluslararası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Öğretmen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Yetiştirme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Sempozyumu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: 1. 27-29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Kasım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1997.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>13.  AKÇAY, Cengiz (1995) “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Öğretmenlerin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Emekliliğe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Hazırlık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.” 6-8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Eylül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1995.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Hacettepe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Üniversitesi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II.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Bilimleri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Kongresi</w:t>
      </w:r>
      <w:proofErr w:type="spellEnd"/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14.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Akçay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R. C.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Güvenç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E. (2012).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Sınıf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Öğretmeni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Adaylarının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Yaşam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Amaçları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Yaşam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Doyumları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Öğretmenlik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Mesleğine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Yönelik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Tutumları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 7.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Ulusal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Yönetimi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Kongresi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İnönü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Üniversitesi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, Malatya.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15.  AKÇAY, Cengiz (2012). EĞİTİM FAKÜLTELERİNİN STRATEJİK PLANLARINDAKİ VİZYON VE MİSYON İFADELERİNE İLİŞKİN KARŞILAŞTIRMALI BİR DEĞERLENDİRME. 7.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Ulusal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Yönetimi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Kongresi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İnönü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Üniversitesi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, Malatya.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16. AKÇAY, Cengiz (2010).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Yükseköğretimde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Akreditasyon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Çalışmalarının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Örgütlenmesi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Sorunları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.</w:t>
      </w:r>
    </w:p>
    <w:p w:rsidR="00BE71D8" w:rsidRPr="00BE71D8" w:rsidRDefault="00BE71D8" w:rsidP="00BE71D8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 xml:space="preserve">17. AKÇAY, Cengiz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SÜMER,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Hükümran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(2007). "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İşitme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Engelli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Öğrencilerin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Beden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Spor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Dersinde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Karşılaştıkları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Sorunlara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İlişkin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Öğretmen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Görüşleri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", 17.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Ulusal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Özel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Kongresi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17.11.2007,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Çeşme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.</w:t>
      </w:r>
    </w:p>
    <w:p w:rsidR="00BE71D8" w:rsidRDefault="00BE71D8" w:rsidP="00962011">
      <w:pPr>
        <w:spacing w:after="0"/>
        <w:rPr>
          <w:b/>
          <w:lang w:val="tr-TR"/>
        </w:rPr>
      </w:pPr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>7.7. Other publications</w:t>
      </w:r>
    </w:p>
    <w:p w:rsidR="00BE71D8" w:rsidRPr="00BE71D8" w:rsidRDefault="00BE71D8" w:rsidP="00BE71D8">
      <w:pPr>
        <w:spacing w:before="120" w:after="120" w:line="240" w:lineRule="auto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>1. “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Yaşlılık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Emeklilik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: 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Kavramlar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Kuramlar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” </w:t>
      </w:r>
      <w:r w:rsidRPr="00BE71D8">
        <w:rPr>
          <w:rFonts w:eastAsia="Times New Roman"/>
          <w:sz w:val="20"/>
          <w:szCs w:val="20"/>
          <w:lang w:eastAsia="tr-TR"/>
        </w:rPr>
        <w:t>PEGEM</w:t>
      </w:r>
      <w:r w:rsidRPr="00BE71D8">
        <w:rPr>
          <w:rFonts w:eastAsia="Times New Roman"/>
          <w:sz w:val="20"/>
          <w:szCs w:val="20"/>
          <w:lang w:eastAsia="tr-TR"/>
        </w:rPr>
        <w:t xml:space="preserve"> AKADEMİ, 2015.</w:t>
      </w:r>
      <w:r w:rsidRPr="00BE71D8">
        <w:rPr>
          <w:rFonts w:eastAsia="Times New Roman"/>
          <w:sz w:val="20"/>
          <w:szCs w:val="20"/>
          <w:lang w:eastAsia="tr-TR"/>
        </w:rPr>
        <w:t xml:space="preserve"> </w:t>
      </w:r>
    </w:p>
    <w:p w:rsidR="00BE71D8" w:rsidRPr="00BE71D8" w:rsidRDefault="00BE71D8" w:rsidP="00BE71D8">
      <w:pPr>
        <w:spacing w:before="120" w:after="120" w:line="240" w:lineRule="auto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>2.  “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Türk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Sistemi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Okul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Yönetimi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.”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Kriter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yayınevi</w:t>
      </w:r>
      <w:proofErr w:type="spellEnd"/>
      <w:proofErr w:type="gramStart"/>
      <w:r w:rsidRPr="00BE71D8">
        <w:rPr>
          <w:rFonts w:eastAsia="Times New Roman"/>
          <w:sz w:val="20"/>
          <w:szCs w:val="20"/>
          <w:lang w:eastAsia="tr-TR"/>
        </w:rPr>
        <w:t>,  2015</w:t>
      </w:r>
      <w:proofErr w:type="gram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</w:p>
    <w:p w:rsidR="00BE71D8" w:rsidRPr="00BE71D8" w:rsidRDefault="00BE71D8" w:rsidP="00BE71D8">
      <w:pPr>
        <w:spacing w:before="120" w:after="120" w:line="240" w:lineRule="auto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>3. “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Yaşlılık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: 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Kavramlar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Kuramlar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yaşlılığa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Hazırlık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” 2013 (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genişletilmiş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2.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Baskı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)</w:t>
      </w:r>
    </w:p>
    <w:p w:rsidR="00BE71D8" w:rsidRPr="00BE71D8" w:rsidRDefault="00BE71D8" w:rsidP="00BE71D8">
      <w:pPr>
        <w:spacing w:before="120" w:after="120" w:line="240" w:lineRule="auto"/>
        <w:rPr>
          <w:rFonts w:eastAsia="Times New Roman"/>
          <w:sz w:val="20"/>
          <w:szCs w:val="20"/>
          <w:lang w:eastAsia="tr-TR"/>
        </w:rPr>
      </w:pPr>
      <w:proofErr w:type="gramStart"/>
      <w:r w:rsidRPr="00BE71D8">
        <w:rPr>
          <w:rFonts w:eastAsia="Times New Roman"/>
          <w:sz w:val="20"/>
          <w:szCs w:val="20"/>
          <w:lang w:eastAsia="tr-TR"/>
        </w:rPr>
        <w:t>4.“</w:t>
      </w:r>
      <w:proofErr w:type="gramEnd"/>
      <w:r w:rsidRPr="00BE71D8">
        <w:rPr>
          <w:rFonts w:eastAsia="Times New Roman"/>
          <w:sz w:val="20"/>
          <w:szCs w:val="20"/>
          <w:lang w:eastAsia="tr-TR"/>
        </w:rPr>
        <w:t xml:space="preserve">Yaşlılık,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Kavramlar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ve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Kuramlar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”,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Kriter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Yayınevi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, 2011</w:t>
      </w:r>
    </w:p>
    <w:p w:rsidR="00BE71D8" w:rsidRPr="00BE71D8" w:rsidRDefault="00BE71D8" w:rsidP="00BE71D8">
      <w:pPr>
        <w:spacing w:before="120" w:after="120" w:line="240" w:lineRule="auto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>5. “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Türk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Eğitim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Sistemi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”, Anı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Yayıncılık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>, 2006.</w:t>
      </w:r>
    </w:p>
    <w:p w:rsidR="00851CBC" w:rsidRPr="00BE71D8" w:rsidRDefault="00BE71D8" w:rsidP="00BE71D8">
      <w:pPr>
        <w:spacing w:before="120" w:after="120" w:line="240" w:lineRule="auto"/>
        <w:rPr>
          <w:rFonts w:eastAsia="Times New Roman"/>
          <w:sz w:val="20"/>
          <w:szCs w:val="20"/>
          <w:lang w:eastAsia="tr-TR"/>
        </w:rPr>
      </w:pPr>
      <w:r w:rsidRPr="00BE71D8">
        <w:rPr>
          <w:rFonts w:eastAsia="Times New Roman"/>
          <w:sz w:val="20"/>
          <w:szCs w:val="20"/>
          <w:lang w:eastAsia="tr-TR"/>
        </w:rPr>
        <w:t>6</w:t>
      </w:r>
      <w:r w:rsidRPr="00BE71D8">
        <w:rPr>
          <w:rFonts w:eastAsia="Times New Roman"/>
          <w:sz w:val="20"/>
          <w:szCs w:val="20"/>
          <w:lang w:eastAsia="tr-TR"/>
        </w:rPr>
        <w:t xml:space="preserve">. 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Akçay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gramStart"/>
      <w:r w:rsidRPr="00BE71D8">
        <w:rPr>
          <w:rFonts w:eastAsia="Times New Roman"/>
          <w:sz w:val="20"/>
          <w:szCs w:val="20"/>
          <w:lang w:eastAsia="tr-TR"/>
        </w:rPr>
        <w:t>Cengiz.,</w:t>
      </w:r>
      <w:proofErr w:type="gramEnd"/>
      <w:r w:rsidRPr="00BE71D8">
        <w:rPr>
          <w:rFonts w:eastAsia="Times New Roman"/>
          <w:sz w:val="20"/>
          <w:szCs w:val="20"/>
          <w:lang w:eastAsia="tr-TR"/>
        </w:rPr>
        <w:t xml:space="preserve"> Mustafa Aydın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Başar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.  (Ed.) II.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Ulusal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Öğretmen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Yetiştirme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Sempozyumu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10-12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Mayıs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2000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Bildiriler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, </w:t>
      </w:r>
      <w:proofErr w:type="spellStart"/>
      <w:r w:rsidRPr="00BE71D8">
        <w:rPr>
          <w:rFonts w:eastAsia="Times New Roman"/>
          <w:sz w:val="20"/>
          <w:szCs w:val="20"/>
          <w:lang w:eastAsia="tr-TR"/>
        </w:rPr>
        <w:t>Çanakkale</w:t>
      </w:r>
      <w:proofErr w:type="spellEnd"/>
      <w:r w:rsidRPr="00BE71D8">
        <w:rPr>
          <w:rFonts w:eastAsia="Times New Roman"/>
          <w:sz w:val="20"/>
          <w:szCs w:val="20"/>
          <w:lang w:eastAsia="tr-TR"/>
        </w:rPr>
        <w:t xml:space="preserve"> 2000.</w:t>
      </w:r>
      <w:bookmarkStart w:id="0" w:name="_GoBack"/>
      <w:bookmarkEnd w:id="0"/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8.    Scientific projects 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9.    Administrative positions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10.  Membership in scientific and professional organisations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11.  Awards received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12.   Courses given  at undergraduate and graduate level in the last two years</w:t>
      </w:r>
      <w:r w:rsidR="000D2267">
        <w:rPr>
          <w:b/>
          <w:lang w:val="tr-TR"/>
        </w:rPr>
        <w:t>(please use the table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1283"/>
        <w:gridCol w:w="1261"/>
        <w:gridCol w:w="1050"/>
      </w:tblGrid>
      <w:tr w:rsidR="000D2267" w:rsidRPr="004612DB" w:rsidTr="00B0698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Academic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Semester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Weekly hours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Default="000D2267" w:rsidP="00B069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No of </w:t>
            </w:r>
          </w:p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students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Theoretical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2267" w:rsidRPr="000D2267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 w:rsidRPr="000D2267">
              <w:rPr>
                <w:rFonts w:ascii="Arial" w:hAnsi="Arial" w:cs="Arial"/>
                <w:b/>
                <w:sz w:val="20"/>
                <w:szCs w:val="20"/>
                <w:lang w:val="tr-TR"/>
              </w:rPr>
              <w:t>Laboratory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0D2267" w:rsidRPr="004612DB" w:rsidTr="00B0698C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264364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2015-2016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0D2267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F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proofErr w:type="spellStart"/>
            <w:r w:rsidR="00264364">
              <w:rPr>
                <w:rFonts w:ascii="Arial" w:eastAsia="Calibri" w:hAnsi="Arial" w:cs="Arial"/>
                <w:sz w:val="20"/>
                <w:szCs w:val="20"/>
                <w:lang w:val="tr-TR"/>
              </w:rPr>
              <w:t>Developmental</w:t>
            </w:r>
            <w:proofErr w:type="spellEnd"/>
            <w:r w:rsidR="00264364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264364">
              <w:rPr>
                <w:rFonts w:ascii="Arial" w:eastAsia="Calibri" w:hAnsi="Arial" w:cs="Arial"/>
                <w:sz w:val="20"/>
                <w:szCs w:val="20"/>
                <w:lang w:val="tr-TR"/>
              </w:rPr>
              <w:t>Psychology</w:t>
            </w:r>
            <w:proofErr w:type="spellEnd"/>
            <w:r w:rsidR="000D514F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II</w:t>
            </w:r>
          </w:p>
          <w:p w:rsidR="000D2267" w:rsidRDefault="000D514F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FF2F5"/>
              </w:rPr>
              <w:t>Community Services Applications</w:t>
            </w:r>
            <w:r w:rsidR="000D2267"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</w:p>
          <w:p w:rsidR="000D514F" w:rsidRPr="004612DB" w:rsidRDefault="000D514F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FF2F5"/>
              </w:rPr>
              <w:lastRenderedPageBreak/>
              <w:t>SCIENTIFIC RESEARCH METHODS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Default="000D514F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lastRenderedPageBreak/>
              <w:t>3</w:t>
            </w:r>
          </w:p>
          <w:p w:rsidR="000D514F" w:rsidRDefault="000D514F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  <w:p w:rsidR="000D514F" w:rsidRPr="004612DB" w:rsidRDefault="000D514F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lastRenderedPageBreak/>
              <w:t>2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Default="000D514F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lastRenderedPageBreak/>
              <w:t>0</w:t>
            </w:r>
            <w:r w:rsidR="000D2267"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  <w:p w:rsidR="000D514F" w:rsidRDefault="000D514F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  <w:p w:rsidR="000D514F" w:rsidRPr="004612DB" w:rsidRDefault="000D514F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lastRenderedPageBreak/>
              <w:t>0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Default="000D514F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lastRenderedPageBreak/>
              <w:t>90</w:t>
            </w:r>
            <w:r w:rsidR="000D2267"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  <w:p w:rsidR="000D514F" w:rsidRDefault="000D514F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60</w:t>
            </w:r>
          </w:p>
          <w:p w:rsidR="000D514F" w:rsidRPr="004612DB" w:rsidRDefault="000D514F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lastRenderedPageBreak/>
              <w:t>60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</w:tbl>
    <w:p w:rsidR="00851CBC" w:rsidRDefault="000D2267" w:rsidP="00851CBC">
      <w:pPr>
        <w:spacing w:after="0"/>
        <w:rPr>
          <w:b/>
          <w:lang w:val="tr-TR"/>
        </w:rPr>
      </w:pPr>
      <w:r>
        <w:rPr>
          <w:b/>
          <w:lang w:val="tr-TR"/>
        </w:rPr>
        <w:t>Note: If applicable, courses given summer semesters  will be included.</w:t>
      </w:r>
    </w:p>
    <w:p w:rsidR="00851CBC" w:rsidRPr="00962011" w:rsidRDefault="00851CBC" w:rsidP="00962011">
      <w:pPr>
        <w:spacing w:after="0"/>
        <w:rPr>
          <w:b/>
          <w:lang w:val="tr-TR"/>
        </w:rPr>
      </w:pPr>
    </w:p>
    <w:p w:rsidR="00F562BF" w:rsidRPr="00F562BF" w:rsidRDefault="00F562BF" w:rsidP="00962011">
      <w:pPr>
        <w:pStyle w:val="ListeParagraf"/>
        <w:spacing w:after="0"/>
        <w:ind w:left="0"/>
        <w:rPr>
          <w:b/>
          <w:lang w:val="tr-TR"/>
        </w:rPr>
      </w:pP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</w:p>
    <w:p w:rsidR="00F562BF" w:rsidRP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 xml:space="preserve"> </w:t>
      </w:r>
    </w:p>
    <w:p w:rsidR="00F562BF" w:rsidRDefault="00F562BF" w:rsidP="00F562BF">
      <w:pPr>
        <w:pStyle w:val="ListeParagraf"/>
        <w:spacing w:after="0"/>
        <w:ind w:left="0"/>
        <w:rPr>
          <w:lang w:val="tr-TR"/>
        </w:rPr>
      </w:pPr>
    </w:p>
    <w:p w:rsidR="001369D0" w:rsidRPr="00827C10" w:rsidRDefault="001369D0" w:rsidP="00F562BF">
      <w:pPr>
        <w:pStyle w:val="ListeParagraf"/>
        <w:spacing w:after="0"/>
        <w:ind w:left="0"/>
        <w:rPr>
          <w:lang w:val="tr-TR"/>
        </w:rPr>
      </w:pPr>
    </w:p>
    <w:p w:rsidR="00827C10" w:rsidRPr="00827C10" w:rsidRDefault="00827C10" w:rsidP="001369D0">
      <w:pPr>
        <w:spacing w:after="0"/>
        <w:rPr>
          <w:lang w:val="tr-TR"/>
        </w:rPr>
      </w:pPr>
    </w:p>
    <w:sectPr w:rsidR="00827C10" w:rsidRPr="00827C10" w:rsidSect="002B4B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27C10"/>
    <w:rsid w:val="000D2267"/>
    <w:rsid w:val="000D514F"/>
    <w:rsid w:val="001369D0"/>
    <w:rsid w:val="00264364"/>
    <w:rsid w:val="002B4B87"/>
    <w:rsid w:val="0058417B"/>
    <w:rsid w:val="007B4417"/>
    <w:rsid w:val="00827C10"/>
    <w:rsid w:val="00851CBC"/>
    <w:rsid w:val="009161F9"/>
    <w:rsid w:val="00962011"/>
    <w:rsid w:val="00A8639A"/>
    <w:rsid w:val="00AD043E"/>
    <w:rsid w:val="00BE71D8"/>
    <w:rsid w:val="00D37741"/>
    <w:rsid w:val="00F562BF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AA2F0-5B15-418A-8AC3-BAD52E6F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87"/>
  </w:style>
  <w:style w:type="paragraph" w:styleId="Balk1">
    <w:name w:val="heading 1"/>
    <w:basedOn w:val="Normal"/>
    <w:next w:val="Normal"/>
    <w:link w:val="Balk1Char"/>
    <w:uiPriority w:val="9"/>
    <w:qFormat/>
    <w:rsid w:val="00827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2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21">
    <w:name w:val="Orta Gölgeleme 21"/>
    <w:basedOn w:val="NormalTablo"/>
    <w:uiPriority w:val="64"/>
    <w:rsid w:val="007B44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7B441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7B44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86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8639A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styleId="Gl">
    <w:name w:val="Strong"/>
    <w:uiPriority w:val="22"/>
    <w:qFormat/>
    <w:rsid w:val="009161F9"/>
    <w:rPr>
      <w:b/>
      <w:bCs/>
    </w:rPr>
  </w:style>
  <w:style w:type="character" w:customStyle="1" w:styleId="apple-converted-space">
    <w:name w:val="apple-converted-space"/>
    <w:rsid w:val="0091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2072</Words>
  <Characters>11811</Characters>
  <Application>Microsoft Office Word</Application>
  <DocSecurity>0</DocSecurity>
  <Lines>98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ERTP</dc:creator>
  <cp:lastModifiedBy>Recep Cengiz AKCAY</cp:lastModifiedBy>
  <cp:revision>5</cp:revision>
  <dcterms:created xsi:type="dcterms:W3CDTF">2011-11-27T08:37:00Z</dcterms:created>
  <dcterms:modified xsi:type="dcterms:W3CDTF">2015-09-21T07:34:00Z</dcterms:modified>
</cp:coreProperties>
</file>